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D0E0AD" w14:textId="72231765" w:rsidR="00C1144B" w:rsidRPr="00F22796" w:rsidRDefault="00F06A3C" w:rsidP="007F4E6D">
      <w:pPr>
        <w:tabs>
          <w:tab w:val="center" w:pos="4536"/>
          <w:tab w:val="right" w:pos="9072"/>
        </w:tabs>
        <w:spacing w:after="0" w:line="240" w:lineRule="auto"/>
        <w:jc w:val="right"/>
        <w:rPr>
          <w:rFonts w:ascii="Times New Roman" w:eastAsia="Calibri" w:hAnsi="Times New Roman" w:cs="Times New Roman"/>
          <w:b/>
          <w:i/>
        </w:rPr>
      </w:pPr>
      <w:bookmarkStart w:id="0" w:name="_GoBack"/>
      <w:bookmarkEnd w:id="0"/>
      <w:r w:rsidRPr="00CF323B">
        <w:rPr>
          <w:rFonts w:ascii="Times New Roman" w:eastAsia="Calibri" w:hAnsi="Times New Roman" w:cs="Times New Roman"/>
          <w:b/>
          <w:i/>
        </w:rPr>
        <w:t xml:space="preserve">Приложение </w:t>
      </w:r>
      <w:r w:rsidR="00F22796">
        <w:rPr>
          <w:rFonts w:ascii="Times New Roman" w:eastAsia="Calibri" w:hAnsi="Times New Roman" w:cs="Times New Roman"/>
          <w:b/>
          <w:i/>
        </w:rPr>
        <w:t>1</w:t>
      </w:r>
      <w:r w:rsidR="002C7ED8">
        <w:rPr>
          <w:rFonts w:ascii="Times New Roman" w:eastAsia="Calibri" w:hAnsi="Times New Roman" w:cs="Times New Roman"/>
          <w:b/>
          <w:i/>
        </w:rPr>
        <w:t>5</w:t>
      </w:r>
    </w:p>
    <w:p w14:paraId="1A48257E" w14:textId="04EF41CF" w:rsidR="00045584" w:rsidRDefault="00A87D4D" w:rsidP="00A87D4D">
      <w:pPr>
        <w:spacing w:after="0" w:line="240" w:lineRule="auto"/>
        <w:jc w:val="center"/>
        <w:rPr>
          <w:rFonts w:ascii="Times New Roman" w:eastAsia="Times New Roman" w:hAnsi="Times New Roman" w:cs="Times New Roman"/>
          <w:b/>
          <w:snapToGrid w:val="0"/>
          <w:kern w:val="28"/>
          <w:sz w:val="24"/>
          <w:szCs w:val="24"/>
        </w:rPr>
      </w:pPr>
      <w:r w:rsidRPr="00CF323B">
        <w:rPr>
          <w:rFonts w:ascii="Times New Roman" w:eastAsia="Times New Roman" w:hAnsi="Times New Roman" w:cs="Times New Roman"/>
          <w:b/>
          <w:snapToGrid w:val="0"/>
          <w:kern w:val="28"/>
          <w:sz w:val="24"/>
          <w:szCs w:val="24"/>
        </w:rPr>
        <w:t>ИЗПОЛЗВАНИ СЪКРАЩЕНИЯ</w:t>
      </w:r>
      <w:r>
        <w:rPr>
          <w:rFonts w:ascii="Times New Roman" w:eastAsia="Times New Roman" w:hAnsi="Times New Roman" w:cs="Times New Roman"/>
          <w:b/>
          <w:snapToGrid w:val="0"/>
          <w:kern w:val="28"/>
          <w:sz w:val="24"/>
          <w:szCs w:val="24"/>
        </w:rPr>
        <w:t xml:space="preserve"> И </w:t>
      </w:r>
      <w:r w:rsidRPr="00CF323B">
        <w:rPr>
          <w:rFonts w:ascii="Times New Roman" w:eastAsia="Times New Roman" w:hAnsi="Times New Roman" w:cs="Times New Roman"/>
          <w:b/>
          <w:snapToGrid w:val="0"/>
          <w:kern w:val="28"/>
          <w:sz w:val="24"/>
          <w:szCs w:val="24"/>
        </w:rPr>
        <w:t>ОСНОВНИ ДЕФИНИЦИИ</w:t>
      </w:r>
    </w:p>
    <w:p w14:paraId="69BC51D0" w14:textId="77777777" w:rsidR="00A87D4D" w:rsidRPr="00CF323B" w:rsidRDefault="00A87D4D" w:rsidP="00A87D4D">
      <w:pPr>
        <w:spacing w:after="0" w:line="240" w:lineRule="auto"/>
        <w:jc w:val="center"/>
        <w:rPr>
          <w:rFonts w:ascii="Times New Roman" w:eastAsia="Times New Roman" w:hAnsi="Times New Roman" w:cs="Times New Roman"/>
          <w:b/>
          <w:snapToGrid w:val="0"/>
          <w:kern w:val="28"/>
          <w:sz w:val="24"/>
          <w:szCs w:val="24"/>
        </w:rPr>
      </w:pPr>
    </w:p>
    <w:p w14:paraId="5CD301AD" w14:textId="77777777" w:rsidR="00C1144B" w:rsidRPr="00CF323B" w:rsidRDefault="007F4E6D" w:rsidP="00C1144B">
      <w:pPr>
        <w:spacing w:after="0" w:line="240" w:lineRule="auto"/>
        <w:rPr>
          <w:rFonts w:ascii="Times New Roman" w:eastAsia="Times New Roman" w:hAnsi="Times New Roman" w:cs="Times New Roman"/>
          <w:b/>
          <w:snapToGrid w:val="0"/>
          <w:kern w:val="28"/>
          <w:sz w:val="24"/>
          <w:szCs w:val="24"/>
        </w:rPr>
      </w:pPr>
      <w:r w:rsidRPr="00CF323B">
        <w:rPr>
          <w:rFonts w:ascii="Times New Roman" w:eastAsia="Times New Roman" w:hAnsi="Times New Roman" w:cs="Times New Roman"/>
          <w:b/>
          <w:snapToGrid w:val="0"/>
          <w:kern w:val="28"/>
          <w:sz w:val="24"/>
          <w:szCs w:val="24"/>
          <w:lang w:val="en-US"/>
        </w:rPr>
        <w:t xml:space="preserve">I. </w:t>
      </w:r>
      <w:r w:rsidR="00C1144B" w:rsidRPr="00CF323B">
        <w:rPr>
          <w:rFonts w:ascii="Times New Roman" w:eastAsia="Times New Roman" w:hAnsi="Times New Roman" w:cs="Times New Roman"/>
          <w:b/>
          <w:snapToGrid w:val="0"/>
          <w:kern w:val="28"/>
          <w:sz w:val="24"/>
          <w:szCs w:val="24"/>
        </w:rPr>
        <w:t>ИЗПОЛЗВАНИ СЪКРАЩЕНИЯ</w:t>
      </w:r>
    </w:p>
    <w:p w14:paraId="25F43ED0" w14:textId="77777777" w:rsidR="00C1144B" w:rsidRPr="00CF323B" w:rsidRDefault="00C1144B" w:rsidP="00C1144B">
      <w:pPr>
        <w:spacing w:after="0" w:line="240" w:lineRule="auto"/>
        <w:rPr>
          <w:rFonts w:ascii="Times New Roman" w:eastAsia="Times New Roman" w:hAnsi="Times New Roman" w:cs="Times New Roman"/>
          <w:b/>
          <w:snapToGrid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1"/>
        <w:gridCol w:w="7011"/>
      </w:tblGrid>
      <w:tr w:rsidR="00F25879" w:rsidRPr="00CF323B" w14:paraId="23CCD771" w14:textId="77777777" w:rsidTr="00096F60">
        <w:tc>
          <w:tcPr>
            <w:tcW w:w="1124" w:type="pct"/>
            <w:shd w:val="clear" w:color="auto" w:fill="D9D9D9"/>
          </w:tcPr>
          <w:p w14:paraId="261A79CC" w14:textId="77777777" w:rsidR="00F25879" w:rsidRPr="00CF323B" w:rsidRDefault="00F25879"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БНБ</w:t>
            </w:r>
          </w:p>
        </w:tc>
        <w:tc>
          <w:tcPr>
            <w:tcW w:w="3876" w:type="pct"/>
            <w:shd w:val="clear" w:color="auto" w:fill="F3F3F3"/>
          </w:tcPr>
          <w:p w14:paraId="60BF3E7B" w14:textId="77777777" w:rsidR="00F25879" w:rsidRPr="00CF323B" w:rsidRDefault="00F25879"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Българска народна банка</w:t>
            </w:r>
          </w:p>
        </w:tc>
      </w:tr>
      <w:tr w:rsidR="00E13079" w:rsidRPr="00CF323B" w14:paraId="3ECE2A5B" w14:textId="77777777" w:rsidTr="00096F60">
        <w:tc>
          <w:tcPr>
            <w:tcW w:w="1124" w:type="pct"/>
            <w:shd w:val="clear" w:color="auto" w:fill="D9D9D9"/>
          </w:tcPr>
          <w:p w14:paraId="086D8E42" w14:textId="785BF891" w:rsidR="00E13079" w:rsidRPr="00CF323B" w:rsidRDefault="00E13079" w:rsidP="00096F60">
            <w:pPr>
              <w:spacing w:before="120" w:after="120" w:line="240" w:lineRule="auto"/>
              <w:ind w:left="288" w:right="288"/>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БФП</w:t>
            </w:r>
          </w:p>
        </w:tc>
        <w:tc>
          <w:tcPr>
            <w:tcW w:w="3876" w:type="pct"/>
            <w:shd w:val="clear" w:color="auto" w:fill="F3F3F3"/>
          </w:tcPr>
          <w:p w14:paraId="6DF72EE0" w14:textId="7003F5C8" w:rsidR="00E13079" w:rsidRPr="00E13079" w:rsidRDefault="00E13079" w:rsidP="001F7D54">
            <w:pPr>
              <w:spacing w:before="120" w:after="120" w:line="240" w:lineRule="auto"/>
              <w:ind w:left="288" w:right="288"/>
              <w:jc w:val="both"/>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Безвъзмездна финансова помощ</w:t>
            </w:r>
          </w:p>
        </w:tc>
      </w:tr>
      <w:tr w:rsidR="00A969A7" w:rsidRPr="00CF323B" w14:paraId="28F5097A" w14:textId="77777777" w:rsidTr="00096F60">
        <w:tc>
          <w:tcPr>
            <w:tcW w:w="1124" w:type="pct"/>
            <w:shd w:val="clear" w:color="auto" w:fill="D9D9D9"/>
          </w:tcPr>
          <w:p w14:paraId="55EBCB67" w14:textId="570AD485" w:rsidR="00A969A7" w:rsidRPr="00CF323B" w:rsidRDefault="00A969A7"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ВУ</w:t>
            </w:r>
          </w:p>
        </w:tc>
        <w:tc>
          <w:tcPr>
            <w:tcW w:w="3876" w:type="pct"/>
            <w:shd w:val="clear" w:color="auto" w:fill="F3F3F3"/>
          </w:tcPr>
          <w:p w14:paraId="51E713F2" w14:textId="7531B06B" w:rsidR="00A969A7" w:rsidRPr="00CF323B" w:rsidRDefault="00A969A7"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Висше училище</w:t>
            </w:r>
          </w:p>
        </w:tc>
      </w:tr>
      <w:tr w:rsidR="00C1144B" w:rsidRPr="00CF323B" w14:paraId="13713C59" w14:textId="77777777" w:rsidTr="00096F60">
        <w:tc>
          <w:tcPr>
            <w:tcW w:w="1124" w:type="pct"/>
            <w:shd w:val="clear" w:color="auto" w:fill="D9D9D9"/>
          </w:tcPr>
          <w:p w14:paraId="0471CCF7" w14:textId="77777777" w:rsidR="00C1144B" w:rsidRPr="00CF323B" w:rsidRDefault="00C1144B"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ГД</w:t>
            </w:r>
          </w:p>
        </w:tc>
        <w:tc>
          <w:tcPr>
            <w:tcW w:w="3876" w:type="pct"/>
            <w:shd w:val="clear" w:color="auto" w:fill="F3F3F3"/>
          </w:tcPr>
          <w:p w14:paraId="1CD0DB13" w14:textId="77777777" w:rsidR="00C1144B" w:rsidRPr="00CF323B" w:rsidRDefault="00C1144B"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Главна дирекция</w:t>
            </w:r>
          </w:p>
        </w:tc>
      </w:tr>
      <w:tr w:rsidR="00C1144B" w:rsidRPr="00CF323B" w14:paraId="5CE365C9" w14:textId="77777777" w:rsidTr="00096F60">
        <w:tc>
          <w:tcPr>
            <w:tcW w:w="1124" w:type="pct"/>
            <w:shd w:val="clear" w:color="auto" w:fill="D9D9D9"/>
          </w:tcPr>
          <w:p w14:paraId="7A24F101" w14:textId="77777777" w:rsidR="00C1144B" w:rsidRPr="00CF323B" w:rsidRDefault="00C1144B"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ДДС</w:t>
            </w:r>
          </w:p>
        </w:tc>
        <w:tc>
          <w:tcPr>
            <w:tcW w:w="3876" w:type="pct"/>
            <w:shd w:val="clear" w:color="auto" w:fill="F3F3F3"/>
          </w:tcPr>
          <w:p w14:paraId="763EA8EC" w14:textId="77777777" w:rsidR="00C1144B" w:rsidRPr="00CF323B" w:rsidRDefault="00C1144B"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Данък добавена стойност</w:t>
            </w:r>
          </w:p>
        </w:tc>
      </w:tr>
      <w:tr w:rsidR="00C1144B" w:rsidRPr="00CF323B" w14:paraId="7ABF82C5" w14:textId="77777777" w:rsidTr="00096F60">
        <w:tc>
          <w:tcPr>
            <w:tcW w:w="1124" w:type="pct"/>
            <w:shd w:val="clear" w:color="auto" w:fill="D9D9D9"/>
          </w:tcPr>
          <w:p w14:paraId="1AC4BA32" w14:textId="77777777" w:rsidR="00C1144B" w:rsidRPr="00CF323B" w:rsidRDefault="00C1144B"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ДМА</w:t>
            </w:r>
          </w:p>
        </w:tc>
        <w:tc>
          <w:tcPr>
            <w:tcW w:w="3876" w:type="pct"/>
            <w:shd w:val="clear" w:color="auto" w:fill="F3F3F3"/>
          </w:tcPr>
          <w:p w14:paraId="0827D268" w14:textId="77777777" w:rsidR="00C1144B" w:rsidRPr="00CF323B" w:rsidRDefault="00C1144B"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Дълготрайни материални активи</w:t>
            </w:r>
          </w:p>
        </w:tc>
      </w:tr>
      <w:tr w:rsidR="00C1144B" w:rsidRPr="00CF323B" w14:paraId="08CD7F07" w14:textId="77777777" w:rsidTr="00096F60">
        <w:tc>
          <w:tcPr>
            <w:tcW w:w="1124" w:type="pct"/>
            <w:shd w:val="clear" w:color="auto" w:fill="D9D9D9"/>
          </w:tcPr>
          <w:p w14:paraId="2008B91A" w14:textId="77777777" w:rsidR="00C1144B" w:rsidRPr="00CF323B" w:rsidRDefault="00C1144B"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ДНА</w:t>
            </w:r>
          </w:p>
        </w:tc>
        <w:tc>
          <w:tcPr>
            <w:tcW w:w="3876" w:type="pct"/>
            <w:shd w:val="clear" w:color="auto" w:fill="F3F3F3"/>
          </w:tcPr>
          <w:p w14:paraId="09B1E5E7" w14:textId="77777777" w:rsidR="00C1144B" w:rsidRPr="00CF323B" w:rsidRDefault="00C1144B"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Дълготрайни нематериални активи</w:t>
            </w:r>
          </w:p>
        </w:tc>
      </w:tr>
      <w:tr w:rsidR="00C1144B" w:rsidRPr="00CF323B" w14:paraId="4C6C8A8D" w14:textId="77777777" w:rsidTr="00096F60">
        <w:tc>
          <w:tcPr>
            <w:tcW w:w="1124" w:type="pct"/>
            <w:shd w:val="clear" w:color="auto" w:fill="D9D9D9"/>
          </w:tcPr>
          <w:p w14:paraId="4E8ED42F" w14:textId="77777777" w:rsidR="00C1144B" w:rsidRPr="00CF323B" w:rsidRDefault="00C1144B"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ДНФ</w:t>
            </w:r>
          </w:p>
        </w:tc>
        <w:tc>
          <w:tcPr>
            <w:tcW w:w="3876" w:type="pct"/>
            <w:shd w:val="clear" w:color="auto" w:fill="F3F3F3"/>
          </w:tcPr>
          <w:p w14:paraId="30E49673" w14:textId="14263525" w:rsidR="00C1144B" w:rsidRPr="00CF323B" w:rsidRDefault="00C1144B" w:rsidP="001F7D54">
            <w:pPr>
              <w:spacing w:before="120" w:after="120" w:line="240" w:lineRule="auto"/>
              <w:ind w:left="289" w:right="289"/>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 xml:space="preserve">Дирекция „Национален фонд”, Министерство на финансите </w:t>
            </w:r>
          </w:p>
        </w:tc>
      </w:tr>
      <w:tr w:rsidR="00D55DC2" w:rsidRPr="00CF323B" w14:paraId="2BC7A527" w14:textId="77777777" w:rsidTr="00096F60">
        <w:tc>
          <w:tcPr>
            <w:tcW w:w="1124" w:type="pct"/>
            <w:shd w:val="clear" w:color="auto" w:fill="D9D9D9"/>
          </w:tcPr>
          <w:p w14:paraId="7B0C15B7" w14:textId="77777777" w:rsidR="00D55DC2" w:rsidRPr="00CF323B" w:rsidRDefault="00D55DC2"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ДОПК</w:t>
            </w:r>
          </w:p>
        </w:tc>
        <w:tc>
          <w:tcPr>
            <w:tcW w:w="3876" w:type="pct"/>
            <w:shd w:val="clear" w:color="auto" w:fill="F3F3F3"/>
          </w:tcPr>
          <w:p w14:paraId="19AA0D29" w14:textId="48628BDC" w:rsidR="00D55DC2" w:rsidRPr="00CF323B" w:rsidRDefault="000D040C" w:rsidP="001F7D54">
            <w:pPr>
              <w:spacing w:before="120" w:after="120" w:line="240" w:lineRule="auto"/>
              <w:ind w:left="289" w:right="289"/>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Данъчно-осигурител</w:t>
            </w:r>
            <w:r w:rsidRPr="00CF323B">
              <w:rPr>
                <w:rFonts w:ascii="Times New Roman" w:eastAsia="Times New Roman" w:hAnsi="Times New Roman" w:cs="Times New Roman"/>
                <w:b/>
                <w:snapToGrid w:val="0"/>
                <w:sz w:val="24"/>
                <w:szCs w:val="24"/>
                <w:lang w:val="en-US"/>
              </w:rPr>
              <w:t>e</w:t>
            </w:r>
            <w:r w:rsidR="004C5A98" w:rsidRPr="00CF323B">
              <w:rPr>
                <w:rFonts w:ascii="Times New Roman" w:eastAsia="Times New Roman" w:hAnsi="Times New Roman" w:cs="Times New Roman"/>
                <w:b/>
                <w:snapToGrid w:val="0"/>
                <w:sz w:val="24"/>
                <w:szCs w:val="24"/>
              </w:rPr>
              <w:t>н</w:t>
            </w:r>
            <w:r w:rsidR="00D55DC2" w:rsidRPr="00CF323B">
              <w:rPr>
                <w:rFonts w:ascii="Times New Roman" w:eastAsia="Times New Roman" w:hAnsi="Times New Roman" w:cs="Times New Roman"/>
                <w:b/>
                <w:snapToGrid w:val="0"/>
                <w:sz w:val="24"/>
                <w:szCs w:val="24"/>
              </w:rPr>
              <w:t xml:space="preserve"> процесуален кодекс</w:t>
            </w:r>
          </w:p>
        </w:tc>
      </w:tr>
      <w:tr w:rsidR="00C1144B" w:rsidRPr="00CF323B" w14:paraId="46A4FFFC" w14:textId="77777777" w:rsidTr="00096F60">
        <w:tc>
          <w:tcPr>
            <w:tcW w:w="1124" w:type="pct"/>
            <w:shd w:val="clear" w:color="auto" w:fill="D9D9D9"/>
          </w:tcPr>
          <w:p w14:paraId="2517990B" w14:textId="77777777" w:rsidR="00C1144B" w:rsidRPr="00CF323B" w:rsidRDefault="00C1144B"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ЕК</w:t>
            </w:r>
          </w:p>
        </w:tc>
        <w:tc>
          <w:tcPr>
            <w:tcW w:w="3876" w:type="pct"/>
            <w:shd w:val="clear" w:color="auto" w:fill="F3F3F3"/>
          </w:tcPr>
          <w:p w14:paraId="1557069A" w14:textId="77777777" w:rsidR="00C1144B" w:rsidRPr="00CF323B" w:rsidRDefault="00C1144B"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Европейска комисия</w:t>
            </w:r>
          </w:p>
        </w:tc>
      </w:tr>
      <w:tr w:rsidR="00C1144B" w:rsidRPr="00CF323B" w14:paraId="402E934D" w14:textId="77777777" w:rsidTr="00096F60">
        <w:tc>
          <w:tcPr>
            <w:tcW w:w="1124" w:type="pct"/>
            <w:shd w:val="clear" w:color="auto" w:fill="D9D9D9"/>
          </w:tcPr>
          <w:p w14:paraId="42FD4FAC" w14:textId="77777777" w:rsidR="00C1144B" w:rsidRPr="00CF323B" w:rsidRDefault="00C1144B"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ЕО</w:t>
            </w:r>
          </w:p>
        </w:tc>
        <w:tc>
          <w:tcPr>
            <w:tcW w:w="3876" w:type="pct"/>
            <w:shd w:val="clear" w:color="auto" w:fill="F3F3F3"/>
          </w:tcPr>
          <w:p w14:paraId="0AE64D42" w14:textId="77777777" w:rsidR="00C1144B" w:rsidRPr="00CF323B" w:rsidRDefault="00C1144B"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Европейска общност</w:t>
            </w:r>
          </w:p>
        </w:tc>
      </w:tr>
      <w:tr w:rsidR="00C1144B" w:rsidRPr="00CF323B" w14:paraId="74E09591" w14:textId="77777777" w:rsidTr="00096F60">
        <w:tc>
          <w:tcPr>
            <w:tcW w:w="1124" w:type="pct"/>
            <w:shd w:val="clear" w:color="auto" w:fill="D9D9D9"/>
          </w:tcPr>
          <w:p w14:paraId="55D5BEE6" w14:textId="77777777" w:rsidR="00C1144B" w:rsidRPr="00CF323B" w:rsidRDefault="00C1144B"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ЕС</w:t>
            </w:r>
          </w:p>
        </w:tc>
        <w:tc>
          <w:tcPr>
            <w:tcW w:w="3876" w:type="pct"/>
            <w:shd w:val="clear" w:color="auto" w:fill="F3F3F3"/>
          </w:tcPr>
          <w:p w14:paraId="040953CD" w14:textId="77777777" w:rsidR="00C1144B" w:rsidRPr="00CF323B" w:rsidRDefault="00C1144B"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Европейски съюз</w:t>
            </w:r>
          </w:p>
        </w:tc>
      </w:tr>
      <w:tr w:rsidR="00924D9B" w:rsidRPr="00CF323B" w14:paraId="0718C951" w14:textId="77777777" w:rsidTr="00096F60">
        <w:tc>
          <w:tcPr>
            <w:tcW w:w="1124" w:type="pct"/>
            <w:shd w:val="clear" w:color="auto" w:fill="D9D9D9"/>
          </w:tcPr>
          <w:p w14:paraId="66D6E16C" w14:textId="77777777" w:rsidR="00924D9B" w:rsidRPr="00CF323B" w:rsidRDefault="00924D9B"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Е</w:t>
            </w:r>
            <w:r w:rsidR="00920C83" w:rsidRPr="00CF323B">
              <w:rPr>
                <w:rFonts w:ascii="Times New Roman" w:eastAsia="Times New Roman" w:hAnsi="Times New Roman" w:cs="Times New Roman"/>
                <w:b/>
                <w:snapToGrid w:val="0"/>
                <w:sz w:val="24"/>
                <w:szCs w:val="24"/>
              </w:rPr>
              <w:t>ФСУ</w:t>
            </w:r>
          </w:p>
        </w:tc>
        <w:tc>
          <w:tcPr>
            <w:tcW w:w="3876" w:type="pct"/>
            <w:shd w:val="clear" w:color="auto" w:fill="F3F3F3"/>
          </w:tcPr>
          <w:p w14:paraId="5C92CEEA" w14:textId="2AE797FF" w:rsidR="00924D9B" w:rsidRPr="00CF323B" w:rsidRDefault="00924D9B"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Европейски фондове</w:t>
            </w:r>
            <w:r w:rsidR="00016E0B" w:rsidRPr="00CF323B">
              <w:rPr>
                <w:rFonts w:ascii="Times New Roman" w:eastAsia="Times New Roman" w:hAnsi="Times New Roman" w:cs="Times New Roman"/>
                <w:b/>
                <w:snapToGrid w:val="0"/>
                <w:sz w:val="24"/>
                <w:szCs w:val="24"/>
              </w:rPr>
              <w:t xml:space="preserve"> при </w:t>
            </w:r>
            <w:r w:rsidR="00920C83" w:rsidRPr="00CF323B">
              <w:rPr>
                <w:rFonts w:ascii="Times New Roman" w:eastAsia="Times New Roman" w:hAnsi="Times New Roman" w:cs="Times New Roman"/>
                <w:b/>
                <w:snapToGrid w:val="0"/>
                <w:sz w:val="24"/>
                <w:szCs w:val="24"/>
              </w:rPr>
              <w:t>споделено управление</w:t>
            </w:r>
          </w:p>
        </w:tc>
      </w:tr>
      <w:tr w:rsidR="00B50A28" w:rsidRPr="00CF323B" w14:paraId="63DCEEC0" w14:textId="77777777" w:rsidTr="00096F60">
        <w:tc>
          <w:tcPr>
            <w:tcW w:w="1124" w:type="pct"/>
            <w:shd w:val="clear" w:color="auto" w:fill="D9D9D9"/>
          </w:tcPr>
          <w:p w14:paraId="5CEFE7E3" w14:textId="77777777" w:rsidR="00B50A28" w:rsidRPr="00CF323B" w:rsidRDefault="00B50A28"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ЕСФ</w:t>
            </w:r>
          </w:p>
        </w:tc>
        <w:tc>
          <w:tcPr>
            <w:tcW w:w="3876" w:type="pct"/>
            <w:shd w:val="clear" w:color="auto" w:fill="F3F3F3"/>
          </w:tcPr>
          <w:p w14:paraId="7A9FE9E5" w14:textId="77777777" w:rsidR="00B50A28" w:rsidRPr="00CF323B" w:rsidRDefault="00B50A28"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Европейски социален фонд</w:t>
            </w:r>
          </w:p>
        </w:tc>
      </w:tr>
      <w:tr w:rsidR="00741F45" w:rsidRPr="00CF323B" w14:paraId="591A68C8" w14:textId="77777777" w:rsidTr="00096F60">
        <w:tc>
          <w:tcPr>
            <w:tcW w:w="1124" w:type="pct"/>
            <w:shd w:val="clear" w:color="auto" w:fill="D9D9D9"/>
          </w:tcPr>
          <w:p w14:paraId="2DC01FA1" w14:textId="77777777" w:rsidR="00741F45" w:rsidRPr="00CF323B" w:rsidRDefault="00741F45"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ЕФРР</w:t>
            </w:r>
          </w:p>
        </w:tc>
        <w:tc>
          <w:tcPr>
            <w:tcW w:w="3876" w:type="pct"/>
            <w:shd w:val="clear" w:color="auto" w:fill="F3F3F3"/>
          </w:tcPr>
          <w:p w14:paraId="3E8A4233" w14:textId="77777777" w:rsidR="00741F45" w:rsidRPr="00CF323B" w:rsidRDefault="00741F45"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Европейски фонд за регионално развитие</w:t>
            </w:r>
          </w:p>
        </w:tc>
      </w:tr>
      <w:tr w:rsidR="00A969A7" w:rsidRPr="00CF323B" w14:paraId="1F3601E4" w14:textId="77777777" w:rsidTr="00096F60">
        <w:tc>
          <w:tcPr>
            <w:tcW w:w="1124" w:type="pct"/>
            <w:shd w:val="clear" w:color="auto" w:fill="D9D9D9"/>
          </w:tcPr>
          <w:p w14:paraId="2FBBA7BA" w14:textId="5D005436" w:rsidR="00A969A7" w:rsidRPr="00CF323B" w:rsidRDefault="00A969A7"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ЗВО</w:t>
            </w:r>
          </w:p>
        </w:tc>
        <w:tc>
          <w:tcPr>
            <w:tcW w:w="3876" w:type="pct"/>
            <w:shd w:val="clear" w:color="auto" w:fill="F3F3F3"/>
          </w:tcPr>
          <w:p w14:paraId="4D1E51D4" w14:textId="5CEE07AC" w:rsidR="00A969A7" w:rsidRPr="00CF323B" w:rsidRDefault="00A969A7"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 xml:space="preserve">Закон за висшето </w:t>
            </w:r>
            <w:r w:rsidR="00096F60" w:rsidRPr="00CF323B">
              <w:rPr>
                <w:rFonts w:ascii="Times New Roman" w:eastAsia="Times New Roman" w:hAnsi="Times New Roman" w:cs="Times New Roman"/>
                <w:b/>
                <w:snapToGrid w:val="0"/>
                <w:sz w:val="24"/>
                <w:szCs w:val="24"/>
              </w:rPr>
              <w:t>образование</w:t>
            </w:r>
          </w:p>
        </w:tc>
      </w:tr>
      <w:tr w:rsidR="00A969A7" w:rsidRPr="00CF323B" w14:paraId="0577D790" w14:textId="77777777" w:rsidTr="00096F60">
        <w:tc>
          <w:tcPr>
            <w:tcW w:w="1124" w:type="pct"/>
            <w:shd w:val="clear" w:color="auto" w:fill="D9D9D9"/>
          </w:tcPr>
          <w:p w14:paraId="317E6A3F" w14:textId="6682C92B" w:rsidR="00A969A7" w:rsidRPr="00CF323B" w:rsidRDefault="00A969A7" w:rsidP="00AF716B">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ЗН</w:t>
            </w:r>
            <w:r w:rsidR="00AF716B" w:rsidRPr="00CF323B">
              <w:rPr>
                <w:rFonts w:ascii="Times New Roman" w:eastAsia="Times New Roman" w:hAnsi="Times New Roman" w:cs="Times New Roman"/>
                <w:b/>
                <w:snapToGrid w:val="0"/>
                <w:sz w:val="24"/>
                <w:szCs w:val="24"/>
              </w:rPr>
              <w:t>Н</w:t>
            </w:r>
            <w:r w:rsidRPr="00CF323B">
              <w:rPr>
                <w:rFonts w:ascii="Times New Roman" w:eastAsia="Times New Roman" w:hAnsi="Times New Roman" w:cs="Times New Roman"/>
                <w:b/>
                <w:snapToGrid w:val="0"/>
                <w:sz w:val="24"/>
                <w:szCs w:val="24"/>
              </w:rPr>
              <w:t>ИИ</w:t>
            </w:r>
          </w:p>
        </w:tc>
        <w:tc>
          <w:tcPr>
            <w:tcW w:w="3876" w:type="pct"/>
            <w:shd w:val="clear" w:color="auto" w:fill="F3F3F3"/>
          </w:tcPr>
          <w:p w14:paraId="59BEBD7A" w14:textId="7DE7AF54" w:rsidR="00A969A7" w:rsidRPr="00CF323B" w:rsidRDefault="00A969A7"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 xml:space="preserve">Закон за </w:t>
            </w:r>
            <w:r w:rsidR="00AF716B" w:rsidRPr="00CF323B">
              <w:rPr>
                <w:rFonts w:ascii="Times New Roman" w:eastAsia="Times New Roman" w:hAnsi="Times New Roman" w:cs="Times New Roman"/>
                <w:b/>
                <w:snapToGrid w:val="0"/>
                <w:sz w:val="24"/>
                <w:szCs w:val="24"/>
              </w:rPr>
              <w:t xml:space="preserve">насърчаване на </w:t>
            </w:r>
            <w:r w:rsidRPr="00CF323B">
              <w:rPr>
                <w:rFonts w:ascii="Times New Roman" w:eastAsia="Times New Roman" w:hAnsi="Times New Roman" w:cs="Times New Roman"/>
                <w:b/>
                <w:snapToGrid w:val="0"/>
                <w:sz w:val="24"/>
                <w:szCs w:val="24"/>
              </w:rPr>
              <w:t>научните изследвания и иновациите</w:t>
            </w:r>
          </w:p>
        </w:tc>
      </w:tr>
      <w:tr w:rsidR="00015702" w:rsidRPr="00CF323B" w14:paraId="3133DB43" w14:textId="77777777" w:rsidTr="00096F60">
        <w:tc>
          <w:tcPr>
            <w:tcW w:w="1124" w:type="pct"/>
            <w:shd w:val="clear" w:color="auto" w:fill="D9D9D9"/>
          </w:tcPr>
          <w:p w14:paraId="65329AB8" w14:textId="77777777" w:rsidR="00015702" w:rsidRPr="00CF323B" w:rsidRDefault="00015702"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ЗКПО</w:t>
            </w:r>
          </w:p>
        </w:tc>
        <w:tc>
          <w:tcPr>
            <w:tcW w:w="3876" w:type="pct"/>
            <w:shd w:val="clear" w:color="auto" w:fill="F3F3F3"/>
          </w:tcPr>
          <w:p w14:paraId="61666B6B" w14:textId="77777777" w:rsidR="00015702" w:rsidRPr="00CF323B" w:rsidRDefault="00015702"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Закон за корпоративното</w:t>
            </w:r>
            <w:r w:rsidR="004E15B4" w:rsidRPr="00CF323B">
              <w:rPr>
                <w:rFonts w:ascii="Times New Roman" w:eastAsia="Times New Roman" w:hAnsi="Times New Roman" w:cs="Times New Roman"/>
                <w:b/>
                <w:snapToGrid w:val="0"/>
                <w:sz w:val="24"/>
                <w:szCs w:val="24"/>
              </w:rPr>
              <w:t xml:space="preserve"> подоходно облагане</w:t>
            </w:r>
          </w:p>
        </w:tc>
      </w:tr>
      <w:tr w:rsidR="00C1144B" w:rsidRPr="00CF323B" w14:paraId="512F094C" w14:textId="77777777" w:rsidTr="00096F60">
        <w:tc>
          <w:tcPr>
            <w:tcW w:w="1124" w:type="pct"/>
            <w:shd w:val="clear" w:color="auto" w:fill="D9D9D9"/>
          </w:tcPr>
          <w:p w14:paraId="2D6F68B1" w14:textId="77777777" w:rsidR="00C1144B" w:rsidRPr="00CF323B" w:rsidRDefault="00C1144B"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ЗМСП</w:t>
            </w:r>
          </w:p>
        </w:tc>
        <w:tc>
          <w:tcPr>
            <w:tcW w:w="3876" w:type="pct"/>
            <w:shd w:val="clear" w:color="auto" w:fill="F3F3F3"/>
          </w:tcPr>
          <w:p w14:paraId="26100F7E" w14:textId="77777777" w:rsidR="00C1144B" w:rsidRPr="00CF323B" w:rsidRDefault="00C1144B"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Закон за малките и средните предприятия</w:t>
            </w:r>
          </w:p>
        </w:tc>
      </w:tr>
      <w:tr w:rsidR="00C1144B" w:rsidRPr="00CF323B" w14:paraId="2576C7B1" w14:textId="77777777" w:rsidTr="00096F60">
        <w:tc>
          <w:tcPr>
            <w:tcW w:w="1124" w:type="pct"/>
            <w:shd w:val="clear" w:color="auto" w:fill="D9D9D9"/>
          </w:tcPr>
          <w:p w14:paraId="14848F1D" w14:textId="77777777" w:rsidR="00C1144B" w:rsidRPr="00CF323B" w:rsidRDefault="00C1144B"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ЗОП</w:t>
            </w:r>
          </w:p>
        </w:tc>
        <w:tc>
          <w:tcPr>
            <w:tcW w:w="3876" w:type="pct"/>
            <w:shd w:val="clear" w:color="auto" w:fill="F3F3F3"/>
          </w:tcPr>
          <w:p w14:paraId="3C731198" w14:textId="77777777" w:rsidR="00C1144B" w:rsidRPr="00CF323B" w:rsidRDefault="00C1144B"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Закон за обществените поръчки</w:t>
            </w:r>
          </w:p>
        </w:tc>
      </w:tr>
      <w:tr w:rsidR="00C1144B" w:rsidRPr="00CF323B" w14:paraId="548158A8" w14:textId="77777777" w:rsidTr="00096F60">
        <w:tc>
          <w:tcPr>
            <w:tcW w:w="1124" w:type="pct"/>
            <w:shd w:val="clear" w:color="auto" w:fill="D9D9D9"/>
          </w:tcPr>
          <w:p w14:paraId="58D7921D" w14:textId="77777777" w:rsidR="00C1144B" w:rsidRPr="00CF323B" w:rsidRDefault="00C1144B"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lastRenderedPageBreak/>
              <w:t>ЗТР</w:t>
            </w:r>
          </w:p>
        </w:tc>
        <w:tc>
          <w:tcPr>
            <w:tcW w:w="3876" w:type="pct"/>
            <w:shd w:val="clear" w:color="auto" w:fill="F3F3F3"/>
          </w:tcPr>
          <w:p w14:paraId="610D40F1" w14:textId="77777777" w:rsidR="00C1144B" w:rsidRPr="00CF323B" w:rsidRDefault="00C1144B"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Закон за търговския регистър</w:t>
            </w:r>
          </w:p>
        </w:tc>
      </w:tr>
      <w:tr w:rsidR="00764CC7" w:rsidRPr="00CF323B" w14:paraId="7FC08A94" w14:textId="77777777" w:rsidTr="00096F60">
        <w:tc>
          <w:tcPr>
            <w:tcW w:w="1124" w:type="pct"/>
            <w:shd w:val="clear" w:color="auto" w:fill="D9D9D9"/>
          </w:tcPr>
          <w:p w14:paraId="01330F95" w14:textId="77777777" w:rsidR="00764CC7" w:rsidRPr="00CF323B" w:rsidRDefault="00764CC7"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ЗУСЕ</w:t>
            </w:r>
            <w:r w:rsidR="00920C83" w:rsidRPr="00CF323B">
              <w:rPr>
                <w:rFonts w:ascii="Times New Roman" w:eastAsia="Times New Roman" w:hAnsi="Times New Roman" w:cs="Times New Roman"/>
                <w:b/>
                <w:snapToGrid w:val="0"/>
                <w:sz w:val="24"/>
                <w:szCs w:val="24"/>
              </w:rPr>
              <w:t>ФСУ</w:t>
            </w:r>
          </w:p>
        </w:tc>
        <w:tc>
          <w:tcPr>
            <w:tcW w:w="3876" w:type="pct"/>
            <w:shd w:val="clear" w:color="auto" w:fill="F3F3F3"/>
          </w:tcPr>
          <w:p w14:paraId="1EE985D9" w14:textId="77777777" w:rsidR="00764CC7" w:rsidRPr="00CF323B" w:rsidRDefault="00764CC7"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 xml:space="preserve">Закон </w:t>
            </w:r>
            <w:r w:rsidR="00E3682E" w:rsidRPr="00CF323B">
              <w:rPr>
                <w:rFonts w:ascii="Times New Roman" w:eastAsia="Times New Roman" w:hAnsi="Times New Roman" w:cs="Times New Roman"/>
                <w:b/>
                <w:snapToGrid w:val="0"/>
                <w:sz w:val="24"/>
                <w:szCs w:val="24"/>
              </w:rPr>
              <w:t>за управление на средствата от Е</w:t>
            </w:r>
            <w:r w:rsidRPr="00CF323B">
              <w:rPr>
                <w:rFonts w:ascii="Times New Roman" w:eastAsia="Times New Roman" w:hAnsi="Times New Roman" w:cs="Times New Roman"/>
                <w:b/>
                <w:snapToGrid w:val="0"/>
                <w:sz w:val="24"/>
                <w:szCs w:val="24"/>
              </w:rPr>
              <w:t xml:space="preserve">вропейските </w:t>
            </w:r>
            <w:r w:rsidR="00016E0B" w:rsidRPr="00CF323B">
              <w:rPr>
                <w:rFonts w:ascii="Times New Roman" w:eastAsia="Times New Roman" w:hAnsi="Times New Roman" w:cs="Times New Roman"/>
                <w:b/>
                <w:snapToGrid w:val="0"/>
                <w:sz w:val="24"/>
                <w:szCs w:val="24"/>
              </w:rPr>
              <w:t xml:space="preserve">фондовете при </w:t>
            </w:r>
            <w:r w:rsidR="00920C83" w:rsidRPr="00CF323B">
              <w:rPr>
                <w:rFonts w:ascii="Times New Roman" w:eastAsia="Times New Roman" w:hAnsi="Times New Roman" w:cs="Times New Roman"/>
                <w:b/>
                <w:snapToGrid w:val="0"/>
                <w:sz w:val="24"/>
                <w:szCs w:val="24"/>
              </w:rPr>
              <w:t>споделено управление</w:t>
            </w:r>
          </w:p>
        </w:tc>
      </w:tr>
      <w:tr w:rsidR="00C83BE5" w:rsidRPr="00CF323B" w14:paraId="77A0C39C" w14:textId="77777777" w:rsidTr="00096F60">
        <w:tc>
          <w:tcPr>
            <w:tcW w:w="1124" w:type="pct"/>
            <w:shd w:val="clear" w:color="auto" w:fill="D9D9D9"/>
          </w:tcPr>
          <w:p w14:paraId="189156AD" w14:textId="77777777" w:rsidR="00C83BE5" w:rsidRPr="00CF323B" w:rsidRDefault="00C83BE5"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ИСУН</w:t>
            </w:r>
          </w:p>
        </w:tc>
        <w:tc>
          <w:tcPr>
            <w:tcW w:w="3876" w:type="pct"/>
            <w:shd w:val="clear" w:color="auto" w:fill="F3F3F3"/>
          </w:tcPr>
          <w:p w14:paraId="1AB6F34E" w14:textId="77777777" w:rsidR="00C83BE5" w:rsidRPr="00CF323B" w:rsidRDefault="00C83BE5"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Информационна система за управление и наблюдение</w:t>
            </w:r>
          </w:p>
        </w:tc>
      </w:tr>
      <w:tr w:rsidR="009228BD" w:rsidRPr="00CF323B" w14:paraId="7EE1A4B8" w14:textId="77777777" w:rsidTr="00096F60">
        <w:tc>
          <w:tcPr>
            <w:tcW w:w="1124" w:type="pct"/>
            <w:shd w:val="clear" w:color="auto" w:fill="D9D9D9"/>
          </w:tcPr>
          <w:p w14:paraId="6D7D346D" w14:textId="77777777" w:rsidR="009228BD" w:rsidRPr="00CF323B" w:rsidRDefault="009228BD"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КЕП</w:t>
            </w:r>
          </w:p>
        </w:tc>
        <w:tc>
          <w:tcPr>
            <w:tcW w:w="3876" w:type="pct"/>
            <w:shd w:val="clear" w:color="auto" w:fill="F3F3F3"/>
          </w:tcPr>
          <w:p w14:paraId="77512411" w14:textId="77777777" w:rsidR="009228BD" w:rsidRPr="00CF323B" w:rsidRDefault="009228BD"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Квалифициран електронен подпис</w:t>
            </w:r>
          </w:p>
        </w:tc>
      </w:tr>
      <w:tr w:rsidR="00C1144B" w:rsidRPr="00CF323B" w14:paraId="7F679B03" w14:textId="77777777" w:rsidTr="00096F60">
        <w:tc>
          <w:tcPr>
            <w:tcW w:w="1124" w:type="pct"/>
            <w:shd w:val="clear" w:color="auto" w:fill="D9D9D9"/>
          </w:tcPr>
          <w:p w14:paraId="3179337C" w14:textId="77777777" w:rsidR="00C1144B" w:rsidRPr="00CF323B" w:rsidRDefault="00C1144B"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КН</w:t>
            </w:r>
          </w:p>
        </w:tc>
        <w:tc>
          <w:tcPr>
            <w:tcW w:w="3876" w:type="pct"/>
            <w:shd w:val="clear" w:color="auto" w:fill="F3F3F3"/>
          </w:tcPr>
          <w:p w14:paraId="11B8F3A4" w14:textId="77777777" w:rsidR="00C1144B" w:rsidRPr="00CF323B" w:rsidRDefault="00C1144B"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Комитет за наблюдение</w:t>
            </w:r>
          </w:p>
        </w:tc>
      </w:tr>
      <w:tr w:rsidR="00C1144B" w:rsidRPr="00CF323B" w14:paraId="324D04D3" w14:textId="77777777" w:rsidTr="00096F60">
        <w:tc>
          <w:tcPr>
            <w:tcW w:w="1124" w:type="pct"/>
            <w:shd w:val="clear" w:color="auto" w:fill="D9D9D9"/>
          </w:tcPr>
          <w:p w14:paraId="44B2CA62" w14:textId="77777777" w:rsidR="00C1144B" w:rsidRPr="00CF323B" w:rsidRDefault="00C1144B"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КИД 2008</w:t>
            </w:r>
          </w:p>
        </w:tc>
        <w:tc>
          <w:tcPr>
            <w:tcW w:w="3876" w:type="pct"/>
            <w:shd w:val="clear" w:color="auto" w:fill="F3F3F3"/>
          </w:tcPr>
          <w:p w14:paraId="1A0AFB07" w14:textId="77777777" w:rsidR="00C1144B" w:rsidRPr="00CF323B" w:rsidRDefault="00C1144B"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Класификация на икономическите дейности 2008</w:t>
            </w:r>
          </w:p>
        </w:tc>
      </w:tr>
      <w:tr w:rsidR="00C1144B" w:rsidRPr="00CF323B" w14:paraId="6947F9B3" w14:textId="77777777" w:rsidTr="00096F60">
        <w:tc>
          <w:tcPr>
            <w:tcW w:w="1124" w:type="pct"/>
            <w:shd w:val="clear" w:color="auto" w:fill="D9D9D9"/>
          </w:tcPr>
          <w:p w14:paraId="4FBEDEDB" w14:textId="77777777" w:rsidR="00C1144B" w:rsidRPr="00CF323B" w:rsidRDefault="00C1144B"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МИ</w:t>
            </w:r>
            <w:r w:rsidR="00920C83" w:rsidRPr="00CF323B">
              <w:rPr>
                <w:rFonts w:ascii="Times New Roman" w:eastAsia="Times New Roman" w:hAnsi="Times New Roman" w:cs="Times New Roman"/>
                <w:b/>
                <w:snapToGrid w:val="0"/>
                <w:sz w:val="24"/>
                <w:szCs w:val="24"/>
              </w:rPr>
              <w:t>Р</w:t>
            </w:r>
          </w:p>
        </w:tc>
        <w:tc>
          <w:tcPr>
            <w:tcW w:w="3876" w:type="pct"/>
            <w:shd w:val="clear" w:color="auto" w:fill="F3F3F3"/>
          </w:tcPr>
          <w:p w14:paraId="687846FB" w14:textId="77777777" w:rsidR="00C1144B" w:rsidRPr="00CF323B" w:rsidRDefault="00C1144B"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 xml:space="preserve">Министерство на </w:t>
            </w:r>
            <w:r w:rsidR="00920C83" w:rsidRPr="00CF323B">
              <w:rPr>
                <w:rFonts w:ascii="Times New Roman" w:eastAsia="Times New Roman" w:hAnsi="Times New Roman" w:cs="Times New Roman"/>
                <w:b/>
                <w:snapToGrid w:val="0"/>
                <w:sz w:val="24"/>
                <w:szCs w:val="24"/>
              </w:rPr>
              <w:t xml:space="preserve">иновациите и </w:t>
            </w:r>
            <w:r w:rsidR="0035095C" w:rsidRPr="00CF323B">
              <w:rPr>
                <w:rFonts w:ascii="Times New Roman" w:eastAsia="Times New Roman" w:hAnsi="Times New Roman" w:cs="Times New Roman"/>
                <w:b/>
                <w:snapToGrid w:val="0"/>
                <w:sz w:val="24"/>
                <w:szCs w:val="24"/>
              </w:rPr>
              <w:t>растежа</w:t>
            </w:r>
          </w:p>
        </w:tc>
      </w:tr>
      <w:tr w:rsidR="00C1144B" w:rsidRPr="00CF323B" w14:paraId="29B9DCAF" w14:textId="77777777" w:rsidTr="00096F60">
        <w:tc>
          <w:tcPr>
            <w:tcW w:w="1124" w:type="pct"/>
            <w:shd w:val="clear" w:color="auto" w:fill="D9D9D9"/>
          </w:tcPr>
          <w:p w14:paraId="09434529" w14:textId="77777777" w:rsidR="00C1144B" w:rsidRPr="00CF323B" w:rsidRDefault="00C1144B"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МС</w:t>
            </w:r>
          </w:p>
        </w:tc>
        <w:tc>
          <w:tcPr>
            <w:tcW w:w="3876" w:type="pct"/>
            <w:shd w:val="clear" w:color="auto" w:fill="F3F3F3"/>
          </w:tcPr>
          <w:p w14:paraId="74C0F668" w14:textId="77777777" w:rsidR="00C1144B" w:rsidRPr="00CF323B" w:rsidRDefault="00C1144B"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Министерски съвет</w:t>
            </w:r>
          </w:p>
        </w:tc>
      </w:tr>
      <w:tr w:rsidR="00C1144B" w:rsidRPr="00CF323B" w14:paraId="546A7076" w14:textId="77777777" w:rsidTr="00096F60">
        <w:tc>
          <w:tcPr>
            <w:tcW w:w="1124" w:type="pct"/>
            <w:shd w:val="clear" w:color="auto" w:fill="D9D9D9"/>
          </w:tcPr>
          <w:p w14:paraId="5A53E470" w14:textId="77777777" w:rsidR="00C1144B" w:rsidRPr="00CF323B" w:rsidRDefault="00C1144B"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МСП</w:t>
            </w:r>
          </w:p>
        </w:tc>
        <w:tc>
          <w:tcPr>
            <w:tcW w:w="3876" w:type="pct"/>
            <w:shd w:val="clear" w:color="auto" w:fill="F3F3F3"/>
          </w:tcPr>
          <w:p w14:paraId="5F6F85BC" w14:textId="77777777" w:rsidR="00C1144B" w:rsidRPr="00CF323B" w:rsidRDefault="00C1144B"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Малки и средни предприятия</w:t>
            </w:r>
          </w:p>
        </w:tc>
      </w:tr>
      <w:tr w:rsidR="00A969A7" w:rsidRPr="00CF323B" w14:paraId="5E221115" w14:textId="77777777" w:rsidTr="00096F60">
        <w:tc>
          <w:tcPr>
            <w:tcW w:w="1124" w:type="pct"/>
            <w:shd w:val="clear" w:color="auto" w:fill="D9D9D9"/>
          </w:tcPr>
          <w:p w14:paraId="7C9E4673" w14:textId="12B7F3DB" w:rsidR="00A969A7" w:rsidRPr="00CF323B" w:rsidRDefault="00A969A7"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НО</w:t>
            </w:r>
          </w:p>
        </w:tc>
        <w:tc>
          <w:tcPr>
            <w:tcW w:w="3876" w:type="pct"/>
            <w:shd w:val="clear" w:color="auto" w:fill="F3F3F3"/>
          </w:tcPr>
          <w:p w14:paraId="5F01ABA0" w14:textId="0D0A668B" w:rsidR="00A969A7" w:rsidRPr="00CF323B" w:rsidRDefault="00A969A7"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Научна организация</w:t>
            </w:r>
          </w:p>
        </w:tc>
      </w:tr>
      <w:tr w:rsidR="00C1144B" w:rsidRPr="00CF323B" w14:paraId="60EF2BD1" w14:textId="77777777" w:rsidTr="00096F60">
        <w:tc>
          <w:tcPr>
            <w:tcW w:w="1124" w:type="pct"/>
            <w:shd w:val="clear" w:color="auto" w:fill="D9D9D9"/>
          </w:tcPr>
          <w:p w14:paraId="12693FAD" w14:textId="77777777" w:rsidR="00C1144B" w:rsidRPr="00CF323B" w:rsidRDefault="00C1144B"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НСИ</w:t>
            </w:r>
          </w:p>
        </w:tc>
        <w:tc>
          <w:tcPr>
            <w:tcW w:w="3876" w:type="pct"/>
            <w:shd w:val="clear" w:color="auto" w:fill="F3F3F3"/>
          </w:tcPr>
          <w:p w14:paraId="6ABC9D65" w14:textId="77777777" w:rsidR="00C1144B" w:rsidRPr="00CF323B" w:rsidRDefault="00C1144B"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Национален статистически институт</w:t>
            </w:r>
          </w:p>
        </w:tc>
      </w:tr>
      <w:tr w:rsidR="00734B42" w:rsidRPr="00CF323B" w14:paraId="45C26132" w14:textId="77777777" w:rsidTr="00096F60">
        <w:tc>
          <w:tcPr>
            <w:tcW w:w="1124" w:type="pct"/>
            <w:shd w:val="clear" w:color="auto" w:fill="D9D9D9"/>
          </w:tcPr>
          <w:p w14:paraId="5EBF7049" w14:textId="747E255B" w:rsidR="00734B42" w:rsidRPr="00CF323B" w:rsidRDefault="00A969A7"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ПНИИДИТ</w:t>
            </w:r>
          </w:p>
        </w:tc>
        <w:tc>
          <w:tcPr>
            <w:tcW w:w="3876" w:type="pct"/>
            <w:shd w:val="clear" w:color="auto" w:fill="F3F3F3"/>
          </w:tcPr>
          <w:p w14:paraId="71438140" w14:textId="266C02A8" w:rsidR="00734B42" w:rsidRPr="00CF323B" w:rsidRDefault="00920C83"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Програма „</w:t>
            </w:r>
            <w:r w:rsidR="00A969A7" w:rsidRPr="00CF323B">
              <w:rPr>
                <w:rFonts w:ascii="Times New Roman" w:eastAsia="Times New Roman" w:hAnsi="Times New Roman" w:cs="Times New Roman"/>
                <w:b/>
                <w:snapToGrid w:val="0"/>
                <w:sz w:val="24"/>
                <w:szCs w:val="24"/>
              </w:rPr>
              <w:t>Научни изследвания, иновации и дигитализация за интелигентна трансформация</w:t>
            </w:r>
            <w:r w:rsidRPr="00CF323B">
              <w:rPr>
                <w:rFonts w:ascii="Times New Roman" w:eastAsia="Times New Roman" w:hAnsi="Times New Roman" w:cs="Times New Roman"/>
                <w:b/>
                <w:snapToGrid w:val="0"/>
                <w:sz w:val="24"/>
                <w:szCs w:val="24"/>
              </w:rPr>
              <w:t>“ 2021-2027</w:t>
            </w:r>
          </w:p>
        </w:tc>
      </w:tr>
      <w:tr w:rsidR="00C1144B" w:rsidRPr="00CF323B" w14:paraId="6BAA45B0" w14:textId="77777777" w:rsidTr="00096F60">
        <w:tc>
          <w:tcPr>
            <w:tcW w:w="1124" w:type="pct"/>
            <w:shd w:val="clear" w:color="auto" w:fill="D9D9D9"/>
          </w:tcPr>
          <w:p w14:paraId="589077F9" w14:textId="77777777" w:rsidR="00C1144B" w:rsidRPr="00CF323B" w:rsidRDefault="00C1144B"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ПМС</w:t>
            </w:r>
          </w:p>
        </w:tc>
        <w:tc>
          <w:tcPr>
            <w:tcW w:w="3876" w:type="pct"/>
            <w:shd w:val="clear" w:color="auto" w:fill="F3F3F3"/>
          </w:tcPr>
          <w:p w14:paraId="3957782E" w14:textId="77777777" w:rsidR="00C1144B" w:rsidRPr="00CF323B" w:rsidRDefault="00C1144B"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Постановление на Министерски съвет</w:t>
            </w:r>
          </w:p>
        </w:tc>
      </w:tr>
      <w:tr w:rsidR="008056CF" w:rsidRPr="00CF323B" w14:paraId="0CD7E592" w14:textId="77777777" w:rsidTr="00096F60">
        <w:tc>
          <w:tcPr>
            <w:tcW w:w="1124" w:type="pct"/>
            <w:shd w:val="clear" w:color="auto" w:fill="D9D9D9"/>
          </w:tcPr>
          <w:p w14:paraId="010A0D3A" w14:textId="1E0D2367" w:rsidR="008056CF" w:rsidRPr="00CF323B" w:rsidRDefault="008056CF"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РУО</w:t>
            </w:r>
          </w:p>
        </w:tc>
        <w:tc>
          <w:tcPr>
            <w:tcW w:w="3876" w:type="pct"/>
            <w:shd w:val="clear" w:color="auto" w:fill="F3F3F3"/>
          </w:tcPr>
          <w:p w14:paraId="79AA1440" w14:textId="1EB08572" w:rsidR="008056CF" w:rsidRPr="00CF323B" w:rsidRDefault="008056CF"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Ръководител на Управляващия орган</w:t>
            </w:r>
          </w:p>
        </w:tc>
      </w:tr>
      <w:tr w:rsidR="00C1144B" w:rsidRPr="00CF323B" w14:paraId="104676AE" w14:textId="77777777" w:rsidTr="00096F60">
        <w:tc>
          <w:tcPr>
            <w:tcW w:w="1124" w:type="pct"/>
            <w:shd w:val="clear" w:color="auto" w:fill="D9D9D9"/>
          </w:tcPr>
          <w:p w14:paraId="7E406DFD" w14:textId="77777777" w:rsidR="00C1144B" w:rsidRPr="00CF323B" w:rsidRDefault="00C1144B"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СМР</w:t>
            </w:r>
          </w:p>
        </w:tc>
        <w:tc>
          <w:tcPr>
            <w:tcW w:w="3876" w:type="pct"/>
            <w:shd w:val="clear" w:color="auto" w:fill="F3F3F3"/>
          </w:tcPr>
          <w:p w14:paraId="08C88943" w14:textId="77777777" w:rsidR="00C1144B" w:rsidRPr="00CF323B" w:rsidRDefault="00C1144B"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Строително-монтажни работи</w:t>
            </w:r>
          </w:p>
        </w:tc>
      </w:tr>
      <w:tr w:rsidR="002656AC" w:rsidRPr="00CF323B" w14:paraId="2F1D7487" w14:textId="77777777" w:rsidTr="00096F60">
        <w:tc>
          <w:tcPr>
            <w:tcW w:w="1124" w:type="pct"/>
            <w:shd w:val="clear" w:color="auto" w:fill="D9D9D9"/>
          </w:tcPr>
          <w:p w14:paraId="60C011AD" w14:textId="0D104F7B" w:rsidR="002656AC" w:rsidRPr="00CF323B" w:rsidRDefault="002656AC" w:rsidP="00096F60">
            <w:pPr>
              <w:spacing w:before="120" w:after="120" w:line="240" w:lineRule="auto"/>
              <w:ind w:left="288" w:right="288"/>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СНИРД на СТП</w:t>
            </w:r>
          </w:p>
        </w:tc>
        <w:tc>
          <w:tcPr>
            <w:tcW w:w="3876" w:type="pct"/>
            <w:shd w:val="clear" w:color="auto" w:fill="F3F3F3"/>
          </w:tcPr>
          <w:p w14:paraId="43730897" w14:textId="63A5E2DB" w:rsidR="002656AC" w:rsidRPr="00CF323B" w:rsidRDefault="002656AC" w:rsidP="00421ED5">
            <w:pPr>
              <w:spacing w:before="120" w:after="120" w:line="240" w:lineRule="auto"/>
              <w:ind w:left="288" w:right="288"/>
              <w:jc w:val="both"/>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Сдружение за научноизследователска и развойна дейност на София</w:t>
            </w:r>
            <w:r w:rsidR="00421ED5">
              <w:rPr>
                <w:rFonts w:ascii="Times New Roman" w:eastAsia="Times New Roman" w:hAnsi="Times New Roman" w:cs="Times New Roman"/>
                <w:b/>
                <w:snapToGrid w:val="0"/>
                <w:sz w:val="24"/>
                <w:szCs w:val="24"/>
              </w:rPr>
              <w:t>Т</w:t>
            </w:r>
            <w:r>
              <w:rPr>
                <w:rFonts w:ascii="Times New Roman" w:eastAsia="Times New Roman" w:hAnsi="Times New Roman" w:cs="Times New Roman"/>
                <w:b/>
                <w:snapToGrid w:val="0"/>
                <w:sz w:val="24"/>
                <w:szCs w:val="24"/>
              </w:rPr>
              <w:t>ехПарк</w:t>
            </w:r>
          </w:p>
        </w:tc>
      </w:tr>
      <w:tr w:rsidR="008056CF" w:rsidRPr="00CF323B" w14:paraId="05FED3B7" w14:textId="77777777" w:rsidTr="00096F60">
        <w:tc>
          <w:tcPr>
            <w:tcW w:w="1124" w:type="pct"/>
            <w:shd w:val="clear" w:color="auto" w:fill="D9D9D9"/>
          </w:tcPr>
          <w:p w14:paraId="4FE80555" w14:textId="309B5DCA" w:rsidR="008056CF" w:rsidRPr="00CF323B" w:rsidRDefault="008056CF"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УК</w:t>
            </w:r>
          </w:p>
        </w:tc>
        <w:tc>
          <w:tcPr>
            <w:tcW w:w="3876" w:type="pct"/>
            <w:shd w:val="clear" w:color="auto" w:fill="F3F3F3"/>
          </w:tcPr>
          <w:p w14:paraId="132177D5" w14:textId="6E4E2FBD" w:rsidR="008056CF" w:rsidRPr="00CF323B" w:rsidRDefault="008056CF"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Условия за кандидатстване</w:t>
            </w:r>
          </w:p>
        </w:tc>
      </w:tr>
      <w:tr w:rsidR="008056CF" w:rsidRPr="00CF323B" w14:paraId="640DD3D6" w14:textId="77777777" w:rsidTr="00096F60">
        <w:tc>
          <w:tcPr>
            <w:tcW w:w="1124" w:type="pct"/>
            <w:shd w:val="clear" w:color="auto" w:fill="D9D9D9"/>
          </w:tcPr>
          <w:p w14:paraId="61E94B15" w14:textId="20664B3C" w:rsidR="008056CF" w:rsidRPr="00CF323B" w:rsidRDefault="008056CF"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УИ</w:t>
            </w:r>
          </w:p>
        </w:tc>
        <w:tc>
          <w:tcPr>
            <w:tcW w:w="3876" w:type="pct"/>
            <w:shd w:val="clear" w:color="auto" w:fill="F3F3F3"/>
          </w:tcPr>
          <w:p w14:paraId="4DF250AD" w14:textId="3E4AB00A" w:rsidR="008056CF" w:rsidRPr="00CF323B" w:rsidRDefault="008056CF"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Условия за изпълнение</w:t>
            </w:r>
          </w:p>
        </w:tc>
      </w:tr>
      <w:tr w:rsidR="00C1144B" w:rsidRPr="00CF323B" w14:paraId="45B950E9" w14:textId="77777777" w:rsidTr="00096F60">
        <w:tc>
          <w:tcPr>
            <w:tcW w:w="1124" w:type="pct"/>
            <w:shd w:val="clear" w:color="auto" w:fill="D9D9D9"/>
          </w:tcPr>
          <w:p w14:paraId="7A43B28C" w14:textId="77777777" w:rsidR="00C1144B" w:rsidRPr="00CF323B" w:rsidRDefault="00C1144B"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УО</w:t>
            </w:r>
          </w:p>
        </w:tc>
        <w:tc>
          <w:tcPr>
            <w:tcW w:w="3876" w:type="pct"/>
            <w:shd w:val="clear" w:color="auto" w:fill="F3F3F3"/>
          </w:tcPr>
          <w:p w14:paraId="12258DB0" w14:textId="77777777" w:rsidR="00C1144B" w:rsidRPr="00CF323B" w:rsidRDefault="00C1144B"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Управляващ орган</w:t>
            </w:r>
          </w:p>
        </w:tc>
      </w:tr>
      <w:tr w:rsidR="00413F4A" w:rsidRPr="00CF323B" w14:paraId="2FBF55EA" w14:textId="77777777" w:rsidTr="00096F60">
        <w:tc>
          <w:tcPr>
            <w:tcW w:w="1124" w:type="pct"/>
            <w:shd w:val="clear" w:color="auto" w:fill="D9D9D9"/>
          </w:tcPr>
          <w:p w14:paraId="7161C86B" w14:textId="77777777" w:rsidR="00413F4A" w:rsidRPr="00CF323B" w:rsidRDefault="00413F4A" w:rsidP="00096F60">
            <w:pPr>
              <w:spacing w:before="120" w:after="120" w:line="240" w:lineRule="auto"/>
              <w:ind w:left="288" w:right="288"/>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ФК</w:t>
            </w:r>
          </w:p>
        </w:tc>
        <w:tc>
          <w:tcPr>
            <w:tcW w:w="3876" w:type="pct"/>
            <w:shd w:val="clear" w:color="auto" w:fill="F3F3F3"/>
          </w:tcPr>
          <w:p w14:paraId="4F529F8A" w14:textId="77777777" w:rsidR="00413F4A" w:rsidRPr="00CF323B" w:rsidRDefault="00413F4A" w:rsidP="001F7D54">
            <w:pPr>
              <w:spacing w:before="120" w:after="120" w:line="240" w:lineRule="auto"/>
              <w:ind w:left="288" w:right="288"/>
              <w:jc w:val="both"/>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Формуляр за кандидатстване</w:t>
            </w:r>
          </w:p>
        </w:tc>
      </w:tr>
      <w:tr w:rsidR="002656AC" w:rsidRPr="00CF323B" w14:paraId="08C22747" w14:textId="77777777" w:rsidTr="00096F60">
        <w:tc>
          <w:tcPr>
            <w:tcW w:w="1124" w:type="pct"/>
            <w:shd w:val="clear" w:color="auto" w:fill="D9D9D9"/>
          </w:tcPr>
          <w:p w14:paraId="359BA774" w14:textId="5C5160A5" w:rsidR="002656AC" w:rsidRPr="00CF323B" w:rsidRDefault="002656AC" w:rsidP="00096F60">
            <w:pPr>
              <w:spacing w:before="120" w:after="120" w:line="240" w:lineRule="auto"/>
              <w:ind w:left="288" w:right="288"/>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ЦВП</w:t>
            </w:r>
          </w:p>
        </w:tc>
        <w:tc>
          <w:tcPr>
            <w:tcW w:w="3876" w:type="pct"/>
            <w:shd w:val="clear" w:color="auto" w:fill="F3F3F3"/>
          </w:tcPr>
          <w:p w14:paraId="2F73CE68" w14:textId="6CA7F60A" w:rsidR="002656AC" w:rsidRPr="00CF323B" w:rsidRDefault="002656AC" w:rsidP="001F7D54">
            <w:pPr>
              <w:spacing w:before="120" w:after="120" w:line="240" w:lineRule="auto"/>
              <w:ind w:left="288" w:right="288"/>
              <w:jc w:val="both"/>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Център за върхови постижения</w:t>
            </w:r>
          </w:p>
        </w:tc>
      </w:tr>
      <w:tr w:rsidR="002656AC" w:rsidRPr="00CF323B" w14:paraId="57474388" w14:textId="77777777" w:rsidTr="00096F60">
        <w:tc>
          <w:tcPr>
            <w:tcW w:w="1124" w:type="pct"/>
            <w:shd w:val="clear" w:color="auto" w:fill="D9D9D9"/>
          </w:tcPr>
          <w:p w14:paraId="4C005D1E" w14:textId="5E88FCB9" w:rsidR="002656AC" w:rsidRPr="00CF323B" w:rsidRDefault="002656AC" w:rsidP="00096F60">
            <w:pPr>
              <w:spacing w:before="120" w:after="120" w:line="240" w:lineRule="auto"/>
              <w:ind w:left="288" w:right="288"/>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lastRenderedPageBreak/>
              <w:t>ЦК</w:t>
            </w:r>
          </w:p>
        </w:tc>
        <w:tc>
          <w:tcPr>
            <w:tcW w:w="3876" w:type="pct"/>
            <w:shd w:val="clear" w:color="auto" w:fill="F3F3F3"/>
          </w:tcPr>
          <w:p w14:paraId="45012077" w14:textId="6C68AE40" w:rsidR="002656AC" w:rsidRPr="00CF323B" w:rsidRDefault="002656AC" w:rsidP="001F7D54">
            <w:pPr>
              <w:spacing w:before="120" w:after="120" w:line="240" w:lineRule="auto"/>
              <w:ind w:left="288" w:right="288"/>
              <w:jc w:val="both"/>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Център за компетентност</w:t>
            </w:r>
          </w:p>
        </w:tc>
      </w:tr>
    </w:tbl>
    <w:p w14:paraId="5A4FB13F" w14:textId="77777777" w:rsidR="00DA3619" w:rsidRPr="00CF323B" w:rsidRDefault="00DA3619">
      <w:pPr>
        <w:rPr>
          <w:rFonts w:ascii="Times New Roman" w:hAnsi="Times New Roman" w:cs="Times New Roman"/>
          <w:sz w:val="24"/>
          <w:szCs w:val="24"/>
        </w:rPr>
      </w:pPr>
    </w:p>
    <w:p w14:paraId="3E4FA36A" w14:textId="77777777" w:rsidR="00F56BC0" w:rsidRPr="00CF323B" w:rsidRDefault="007F4E6D" w:rsidP="00F56BC0">
      <w:pPr>
        <w:spacing w:after="0" w:line="240" w:lineRule="auto"/>
        <w:rPr>
          <w:rFonts w:ascii="Times New Roman" w:eastAsia="Times New Roman" w:hAnsi="Times New Roman" w:cs="Times New Roman"/>
          <w:b/>
          <w:snapToGrid w:val="0"/>
          <w:kern w:val="28"/>
          <w:sz w:val="24"/>
          <w:szCs w:val="24"/>
        </w:rPr>
      </w:pPr>
      <w:r w:rsidRPr="00CF323B">
        <w:rPr>
          <w:rFonts w:ascii="Times New Roman" w:eastAsia="Times New Roman" w:hAnsi="Times New Roman" w:cs="Times New Roman"/>
          <w:b/>
          <w:snapToGrid w:val="0"/>
          <w:kern w:val="28"/>
          <w:sz w:val="24"/>
          <w:szCs w:val="24"/>
          <w:lang w:val="en-US"/>
        </w:rPr>
        <w:t xml:space="preserve">II. </w:t>
      </w:r>
      <w:r w:rsidR="00DF094A" w:rsidRPr="00CF323B">
        <w:rPr>
          <w:rFonts w:ascii="Times New Roman" w:eastAsia="Times New Roman" w:hAnsi="Times New Roman" w:cs="Times New Roman"/>
          <w:b/>
          <w:snapToGrid w:val="0"/>
          <w:kern w:val="28"/>
          <w:sz w:val="24"/>
          <w:szCs w:val="24"/>
        </w:rPr>
        <w:t>ОСНОВНИ ДЕФИНИЦИИ</w:t>
      </w:r>
    </w:p>
    <w:p w14:paraId="103CF812" w14:textId="77777777" w:rsidR="00E12165" w:rsidRPr="00CF323B" w:rsidRDefault="00E12165" w:rsidP="00F56BC0">
      <w:pPr>
        <w:spacing w:after="0" w:line="240" w:lineRule="auto"/>
        <w:rPr>
          <w:rFonts w:ascii="Times New Roman" w:eastAsia="Times New Roman" w:hAnsi="Times New Roman" w:cs="Times New Roman"/>
          <w:b/>
          <w:snapToGrid w:val="0"/>
          <w:kern w:val="28"/>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5"/>
        <w:gridCol w:w="6417"/>
      </w:tblGrid>
      <w:tr w:rsidR="001172F3" w:rsidRPr="00CF323B" w14:paraId="539E411D" w14:textId="77777777" w:rsidTr="00E2753E">
        <w:tc>
          <w:tcPr>
            <w:tcW w:w="2645" w:type="dxa"/>
            <w:shd w:val="clear" w:color="auto" w:fill="E6E6E6"/>
          </w:tcPr>
          <w:p w14:paraId="0E0586DC" w14:textId="77777777" w:rsidR="001172F3" w:rsidRPr="00CF323B" w:rsidRDefault="001172F3"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Административен договор за безвъзмездна финансова помощ</w:t>
            </w:r>
          </w:p>
        </w:tc>
        <w:tc>
          <w:tcPr>
            <w:tcW w:w="6417" w:type="dxa"/>
            <w:shd w:val="clear" w:color="auto" w:fill="F3F3F3"/>
          </w:tcPr>
          <w:p w14:paraId="051361DE" w14:textId="77777777" w:rsidR="001172F3" w:rsidRPr="00CF323B" w:rsidRDefault="001172F3"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Административен договор е изрично волеизявление на ръководителя на Управляващия орган за предоставяне на финансова подкрепа със средства от Е</w:t>
            </w:r>
            <w:r w:rsidR="00013B0F" w:rsidRPr="00CF323B">
              <w:rPr>
                <w:rFonts w:ascii="Times New Roman" w:eastAsia="Times New Roman" w:hAnsi="Times New Roman" w:cs="Times New Roman"/>
                <w:snapToGrid w:val="0"/>
                <w:sz w:val="24"/>
                <w:szCs w:val="24"/>
              </w:rPr>
              <w:t>ФСУ</w:t>
            </w:r>
            <w:r w:rsidRPr="00CF323B">
              <w:rPr>
                <w:rFonts w:ascii="Times New Roman" w:eastAsia="Times New Roman" w:hAnsi="Times New Roman" w:cs="Times New Roman"/>
                <w:snapToGrid w:val="0"/>
                <w:sz w:val="24"/>
                <w:szCs w:val="24"/>
              </w:rPr>
              <w:t>,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1172F3" w:rsidRPr="00CF323B" w14:paraId="6AD765BE" w14:textId="77777777" w:rsidTr="00E2753E">
        <w:tc>
          <w:tcPr>
            <w:tcW w:w="2645" w:type="dxa"/>
            <w:shd w:val="clear" w:color="auto" w:fill="E6E6E6"/>
          </w:tcPr>
          <w:p w14:paraId="7934C99A" w14:textId="77777777" w:rsidR="001172F3" w:rsidRPr="00CF323B" w:rsidRDefault="001172F3"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Безвъзмездна финансова помощ</w:t>
            </w:r>
          </w:p>
        </w:tc>
        <w:tc>
          <w:tcPr>
            <w:tcW w:w="6417" w:type="dxa"/>
            <w:shd w:val="clear" w:color="auto" w:fill="F3F3F3"/>
          </w:tcPr>
          <w:p w14:paraId="79271180" w14:textId="6BAABD15" w:rsidR="001172F3" w:rsidRPr="00CF323B" w:rsidRDefault="001172F3"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 xml:space="preserve">Средства, предоставени от </w:t>
            </w:r>
            <w:r w:rsidR="00A969A7" w:rsidRPr="00CF323B">
              <w:rPr>
                <w:rFonts w:ascii="Times New Roman" w:eastAsia="Times New Roman" w:hAnsi="Times New Roman" w:cs="Times New Roman"/>
                <w:snapToGrid w:val="0"/>
                <w:sz w:val="24"/>
                <w:szCs w:val="24"/>
              </w:rPr>
              <w:t>ПНИИДИТ</w:t>
            </w:r>
            <w:r w:rsidRPr="00CF323B">
              <w:rPr>
                <w:rFonts w:ascii="Times New Roman" w:eastAsia="Times New Roman" w:hAnsi="Times New Roman" w:cs="Times New Roman"/>
                <w:snapToGrid w:val="0"/>
                <w:sz w:val="24"/>
                <w:szCs w:val="24"/>
              </w:rPr>
              <w:t>, включително съответното национално съфинансиране, с цел изпълнението на одобрен проект, насочен към постигане на определени резултати</w:t>
            </w:r>
            <w:r w:rsidR="00013B0F" w:rsidRPr="00CF323B">
              <w:rPr>
                <w:rFonts w:ascii="Times New Roman" w:eastAsia="Times New Roman" w:hAnsi="Times New Roman" w:cs="Times New Roman"/>
                <w:snapToGrid w:val="0"/>
                <w:sz w:val="24"/>
                <w:szCs w:val="24"/>
              </w:rPr>
              <w:t>/цели</w:t>
            </w:r>
            <w:r w:rsidRPr="00CF323B">
              <w:rPr>
                <w:rFonts w:ascii="Times New Roman" w:eastAsia="Times New Roman" w:hAnsi="Times New Roman" w:cs="Times New Roman"/>
                <w:snapToGrid w:val="0"/>
                <w:sz w:val="24"/>
                <w:szCs w:val="24"/>
              </w:rPr>
              <w:t>.</w:t>
            </w:r>
          </w:p>
        </w:tc>
      </w:tr>
      <w:tr w:rsidR="00F56BC0" w:rsidRPr="00CF323B" w14:paraId="599DEB0C" w14:textId="77777777" w:rsidTr="00E2753E">
        <w:tc>
          <w:tcPr>
            <w:tcW w:w="2645" w:type="dxa"/>
            <w:shd w:val="clear" w:color="auto" w:fill="E6E6E6"/>
          </w:tcPr>
          <w:p w14:paraId="646708CE" w14:textId="77777777" w:rsidR="00F56BC0" w:rsidRPr="00CF323B" w:rsidRDefault="00F56BC0"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Бенефициент на безвъзмездна финансова помощ</w:t>
            </w:r>
          </w:p>
        </w:tc>
        <w:tc>
          <w:tcPr>
            <w:tcW w:w="6417" w:type="dxa"/>
            <w:shd w:val="clear" w:color="auto" w:fill="F3F3F3"/>
          </w:tcPr>
          <w:p w14:paraId="4A268874" w14:textId="5D704171" w:rsidR="00333624" w:rsidRPr="00CF323B" w:rsidRDefault="00177AF4"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 xml:space="preserve">Лицата, посочени в чл. 2, пар. </w:t>
            </w:r>
            <w:r w:rsidR="00016E0B" w:rsidRPr="00CF323B">
              <w:rPr>
                <w:rFonts w:ascii="Times New Roman" w:eastAsia="Times New Roman" w:hAnsi="Times New Roman" w:cs="Times New Roman"/>
                <w:snapToGrid w:val="0"/>
                <w:sz w:val="24"/>
                <w:szCs w:val="24"/>
              </w:rPr>
              <w:t>9</w:t>
            </w:r>
            <w:r w:rsidRPr="00CF323B">
              <w:rPr>
                <w:rFonts w:ascii="Times New Roman" w:eastAsia="Times New Roman" w:hAnsi="Times New Roman" w:cs="Times New Roman"/>
                <w:snapToGrid w:val="0"/>
                <w:sz w:val="24"/>
                <w:szCs w:val="24"/>
              </w:rPr>
              <w:t xml:space="preserve"> от </w:t>
            </w:r>
            <w:r w:rsidR="00016E0B" w:rsidRPr="00CF323B">
              <w:rPr>
                <w:rFonts w:ascii="Times New Roman" w:eastAsia="Times New Roman" w:hAnsi="Times New Roman" w:cs="Times New Roman"/>
                <w:snapToGrid w:val="0"/>
                <w:sz w:val="24"/>
                <w:szCs w:val="24"/>
              </w:rPr>
              <w:t>Регламент (ЕС) 2021/1060</w:t>
            </w:r>
            <w:r w:rsidR="00655CC9" w:rsidRPr="00CF323B">
              <w:rPr>
                <w:rFonts w:ascii="Times New Roman" w:eastAsia="Times New Roman" w:hAnsi="Times New Roman" w:cs="Times New Roman"/>
                <w:snapToGrid w:val="0"/>
                <w:sz w:val="24"/>
                <w:szCs w:val="24"/>
              </w:rPr>
              <w:t xml:space="preserve">, съгласно който </w:t>
            </w:r>
            <w:r w:rsidR="00F56BC0" w:rsidRPr="00CF323B">
              <w:rPr>
                <w:rFonts w:ascii="Times New Roman" w:eastAsia="Times New Roman" w:hAnsi="Times New Roman" w:cs="Times New Roman"/>
                <w:snapToGrid w:val="0"/>
                <w:sz w:val="24"/>
                <w:szCs w:val="24"/>
              </w:rPr>
              <w:t xml:space="preserve">бенефициентите са </w:t>
            </w:r>
            <w:r w:rsidR="00655CC9" w:rsidRPr="00CF323B">
              <w:rPr>
                <w:rFonts w:ascii="Times New Roman" w:eastAsia="Times New Roman" w:hAnsi="Times New Roman" w:cs="Times New Roman"/>
                <w:snapToGrid w:val="0"/>
                <w:sz w:val="24"/>
                <w:szCs w:val="24"/>
              </w:rPr>
              <w:t>публични или частни субекти, образувания със или без правосубектност или физически лица, които отговарят за започването на операциите или за започването и изпълнението им.</w:t>
            </w:r>
            <w:r w:rsidR="00277725" w:rsidRPr="00CF323B">
              <w:rPr>
                <w:rFonts w:ascii="Times New Roman" w:eastAsia="Times New Roman" w:hAnsi="Times New Roman" w:cs="Times New Roman"/>
                <w:snapToGrid w:val="0"/>
                <w:sz w:val="24"/>
                <w:szCs w:val="24"/>
              </w:rPr>
              <w:t xml:space="preserve"> </w:t>
            </w:r>
            <w:r w:rsidR="00F56BC0" w:rsidRPr="00CF323B">
              <w:rPr>
                <w:rFonts w:ascii="Times New Roman" w:eastAsia="Times New Roman" w:hAnsi="Times New Roman" w:cs="Times New Roman"/>
                <w:snapToGrid w:val="0"/>
                <w:sz w:val="24"/>
                <w:szCs w:val="24"/>
              </w:rPr>
              <w:t xml:space="preserve"> </w:t>
            </w:r>
          </w:p>
          <w:p w14:paraId="5FC9BE7F" w14:textId="505461AD" w:rsidR="00F56BC0" w:rsidRPr="00CF323B" w:rsidRDefault="00D64D8A"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За целите на процедурата под б</w:t>
            </w:r>
            <w:r w:rsidR="00277725" w:rsidRPr="00CF323B">
              <w:rPr>
                <w:rFonts w:ascii="Times New Roman" w:eastAsia="Times New Roman" w:hAnsi="Times New Roman" w:cs="Times New Roman"/>
                <w:snapToGrid w:val="0"/>
                <w:sz w:val="24"/>
                <w:szCs w:val="24"/>
              </w:rPr>
              <w:t xml:space="preserve">енефициент </w:t>
            </w:r>
            <w:r w:rsidRPr="00CF323B">
              <w:rPr>
                <w:rFonts w:ascii="Times New Roman" w:eastAsia="Times New Roman" w:hAnsi="Times New Roman" w:cs="Times New Roman"/>
                <w:snapToGrid w:val="0"/>
                <w:sz w:val="24"/>
                <w:szCs w:val="24"/>
              </w:rPr>
              <w:t>с</w:t>
            </w:r>
            <w:r w:rsidR="00277725" w:rsidRPr="00CF323B">
              <w:rPr>
                <w:rFonts w:ascii="Times New Roman" w:eastAsia="Times New Roman" w:hAnsi="Times New Roman" w:cs="Times New Roman"/>
                <w:snapToGrid w:val="0"/>
                <w:sz w:val="24"/>
                <w:szCs w:val="24"/>
              </w:rPr>
              <w:t xml:space="preserve">е </w:t>
            </w:r>
            <w:r w:rsidRPr="00CF323B">
              <w:rPr>
                <w:rFonts w:ascii="Times New Roman" w:eastAsia="Times New Roman" w:hAnsi="Times New Roman" w:cs="Times New Roman"/>
                <w:snapToGrid w:val="0"/>
                <w:sz w:val="24"/>
                <w:szCs w:val="24"/>
              </w:rPr>
              <w:t xml:space="preserve">разбира </w:t>
            </w:r>
            <w:r w:rsidR="00277725" w:rsidRPr="00CF323B">
              <w:rPr>
                <w:rFonts w:ascii="Times New Roman" w:eastAsia="Times New Roman" w:hAnsi="Times New Roman" w:cs="Times New Roman"/>
                <w:snapToGrid w:val="0"/>
                <w:sz w:val="24"/>
                <w:szCs w:val="24"/>
              </w:rPr>
              <w:t>предприятието, което получава</w:t>
            </w:r>
            <w:r w:rsidR="00546517" w:rsidRPr="00CF323B">
              <w:rPr>
                <w:rFonts w:ascii="Times New Roman" w:eastAsia="Times New Roman" w:hAnsi="Times New Roman" w:cs="Times New Roman"/>
                <w:snapToGrid w:val="0"/>
                <w:sz w:val="24"/>
                <w:szCs w:val="24"/>
              </w:rPr>
              <w:t>/разходва</w:t>
            </w:r>
            <w:r w:rsidR="00277725" w:rsidRPr="00CF323B">
              <w:rPr>
                <w:rFonts w:ascii="Times New Roman" w:eastAsia="Times New Roman" w:hAnsi="Times New Roman" w:cs="Times New Roman"/>
                <w:snapToGrid w:val="0"/>
                <w:sz w:val="24"/>
                <w:szCs w:val="24"/>
              </w:rPr>
              <w:t xml:space="preserve"> помощта </w:t>
            </w:r>
            <w:r w:rsidR="00333624" w:rsidRPr="00CF323B">
              <w:rPr>
                <w:rFonts w:ascii="Times New Roman" w:eastAsia="Times New Roman" w:hAnsi="Times New Roman" w:cs="Times New Roman"/>
                <w:snapToGrid w:val="0"/>
                <w:sz w:val="24"/>
                <w:szCs w:val="24"/>
              </w:rPr>
              <w:t>(бенефициента-кандидат и когато е приложимо бенефициента-партньор)</w:t>
            </w:r>
          </w:p>
        </w:tc>
      </w:tr>
      <w:tr w:rsidR="00A969A7" w:rsidRPr="00CF323B" w14:paraId="0A788106" w14:textId="77777777" w:rsidTr="00E2753E">
        <w:tc>
          <w:tcPr>
            <w:tcW w:w="2645" w:type="dxa"/>
            <w:shd w:val="clear" w:color="auto" w:fill="E6E6E6"/>
          </w:tcPr>
          <w:p w14:paraId="04276B9D" w14:textId="04CE4E39" w:rsidR="00A969A7" w:rsidRPr="00CF323B" w:rsidRDefault="00A969A7"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Висше училище</w:t>
            </w:r>
          </w:p>
        </w:tc>
        <w:tc>
          <w:tcPr>
            <w:tcW w:w="6417" w:type="dxa"/>
            <w:shd w:val="clear" w:color="auto" w:fill="F3F3F3"/>
          </w:tcPr>
          <w:p w14:paraId="57B8D340" w14:textId="77777777" w:rsidR="00A969A7" w:rsidRPr="00CF323B" w:rsidRDefault="009615E9" w:rsidP="009615E9">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Съгласно чл. 6 от ЗВО:</w:t>
            </w:r>
          </w:p>
          <w:p w14:paraId="7CCD5AE8" w14:textId="77777777" w:rsidR="009615E9" w:rsidRPr="00CF323B" w:rsidRDefault="009615E9" w:rsidP="009615E9">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b/>
                <w:bCs/>
                <w:snapToGrid w:val="0"/>
                <w:sz w:val="24"/>
                <w:szCs w:val="24"/>
              </w:rPr>
              <w:t>Чл. 6.</w:t>
            </w:r>
            <w:r w:rsidRPr="00CF323B">
              <w:rPr>
                <w:rFonts w:ascii="Times New Roman" w:eastAsia="Times New Roman" w:hAnsi="Times New Roman" w:cs="Times New Roman"/>
                <w:snapToGrid w:val="0"/>
                <w:sz w:val="24"/>
                <w:szCs w:val="24"/>
              </w:rPr>
              <w:t> (1) </w:t>
            </w:r>
            <w:bookmarkStart w:id="1" w:name="ld5871"/>
            <w:r w:rsidRPr="00CF323B">
              <w:rPr>
                <w:rFonts w:ascii="Times New Roman" w:eastAsia="Times New Roman" w:hAnsi="Times New Roman" w:cs="Times New Roman"/>
                <w:snapToGrid w:val="0"/>
                <w:sz w:val="24"/>
                <w:szCs w:val="24"/>
              </w:rPr>
              <w:t>Висшето училище</w:t>
            </w:r>
            <w:bookmarkEnd w:id="1"/>
            <w:r w:rsidRPr="00CF323B">
              <w:rPr>
                <w:rFonts w:ascii="Times New Roman" w:eastAsia="Times New Roman" w:hAnsi="Times New Roman" w:cs="Times New Roman"/>
                <w:snapToGrid w:val="0"/>
                <w:sz w:val="24"/>
                <w:szCs w:val="24"/>
              </w:rPr>
              <w:t> е юридическо лице с предмет на дейност:</w:t>
            </w:r>
          </w:p>
          <w:p w14:paraId="6D2571B0" w14:textId="77777777" w:rsidR="009615E9" w:rsidRPr="00CF323B" w:rsidRDefault="009615E9" w:rsidP="009615E9">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1. подготовка на специалисти, способни да развиват и прилагат научни знания в различните области на човешката дейност;</w:t>
            </w:r>
          </w:p>
          <w:p w14:paraId="50874D12" w14:textId="77777777" w:rsidR="009615E9" w:rsidRPr="00CF323B" w:rsidRDefault="009615E9" w:rsidP="009615E9">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2. повишаване квалификацията на специалисти;</w:t>
            </w:r>
          </w:p>
          <w:p w14:paraId="71A4872C" w14:textId="6AF1C3D1" w:rsidR="009615E9" w:rsidRPr="00CF323B" w:rsidRDefault="009615E9" w:rsidP="009615E9">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3. (изм. - ДВ, бр. 48 от 2004 г.)</w:t>
            </w:r>
            <w:r w:rsidRPr="00CF323B">
              <w:rPr>
                <w:rFonts w:ascii="Times New Roman" w:eastAsia="Times New Roman" w:hAnsi="Times New Roman" w:cs="Times New Roman"/>
                <w:noProof/>
                <w:snapToGrid w:val="0"/>
                <w:sz w:val="24"/>
                <w:szCs w:val="24"/>
                <w:lang w:eastAsia="bg-BG"/>
              </w:rPr>
              <w:drawing>
                <wp:inline distT="0" distB="0" distL="0" distR="0" wp14:anchorId="4A66B1B5" wp14:editId="09F3D9A8">
                  <wp:extent cx="106680" cy="93345"/>
                  <wp:effectExtent l="0" t="0" r="7620" b="1905"/>
                  <wp:docPr id="10" name="Picture 10" descr="https://web.apis.bg/k.gif">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ttps://web.apis.bg/k.gif">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93345"/>
                          </a:xfrm>
                          <a:prstGeom prst="rect">
                            <a:avLst/>
                          </a:prstGeom>
                          <a:noFill/>
                          <a:ln>
                            <a:noFill/>
                          </a:ln>
                        </pic:spPr>
                      </pic:pic>
                    </a:graphicData>
                  </a:graphic>
                </wp:inline>
              </w:drawing>
            </w:r>
            <w:r w:rsidRPr="00CF323B">
              <w:rPr>
                <w:rFonts w:ascii="Times New Roman" w:eastAsia="Times New Roman" w:hAnsi="Times New Roman" w:cs="Times New Roman"/>
                <w:snapToGrid w:val="0"/>
                <w:sz w:val="24"/>
                <w:szCs w:val="24"/>
              </w:rPr>
              <w:t> развитие на науката, културата и иновационната дейност.</w:t>
            </w:r>
          </w:p>
          <w:p w14:paraId="4FE2A8CE" w14:textId="241B3C54" w:rsidR="009615E9" w:rsidRPr="00CF323B" w:rsidRDefault="009615E9" w:rsidP="009615E9">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(2) (Изм. - ДВ, бр. 53 от 2002 г., бр. 48 от 2004 г., доп., бр. 17 от 2016 г., в сила от 1.03.2016 г.)</w:t>
            </w:r>
            <w:r w:rsidRPr="00CF323B">
              <w:rPr>
                <w:rFonts w:ascii="Times New Roman" w:eastAsia="Times New Roman" w:hAnsi="Times New Roman" w:cs="Times New Roman"/>
                <w:noProof/>
                <w:snapToGrid w:val="0"/>
                <w:sz w:val="24"/>
                <w:szCs w:val="24"/>
                <w:lang w:eastAsia="bg-BG"/>
              </w:rPr>
              <w:drawing>
                <wp:inline distT="0" distB="0" distL="0" distR="0" wp14:anchorId="60BC3A27" wp14:editId="1357A32A">
                  <wp:extent cx="106680" cy="93345"/>
                  <wp:effectExtent l="0" t="0" r="7620" b="1905"/>
                  <wp:docPr id="9" name="Picture 9" descr="https://web.apis.bg/k.gif">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https://web.apis.bg/k.gif">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93345"/>
                          </a:xfrm>
                          <a:prstGeom prst="rect">
                            <a:avLst/>
                          </a:prstGeom>
                          <a:noFill/>
                          <a:ln>
                            <a:noFill/>
                          </a:ln>
                        </pic:spPr>
                      </pic:pic>
                    </a:graphicData>
                  </a:graphic>
                </wp:inline>
              </w:drawing>
            </w:r>
            <w:r w:rsidRPr="00CF323B">
              <w:rPr>
                <w:rFonts w:ascii="Times New Roman" w:eastAsia="Times New Roman" w:hAnsi="Times New Roman" w:cs="Times New Roman"/>
                <w:snapToGrid w:val="0"/>
                <w:sz w:val="24"/>
                <w:szCs w:val="24"/>
              </w:rPr>
              <w:t xml:space="preserve"> Висшето училище може </w:t>
            </w:r>
            <w:r w:rsidRPr="00CF323B">
              <w:rPr>
                <w:rFonts w:ascii="Times New Roman" w:eastAsia="Times New Roman" w:hAnsi="Times New Roman" w:cs="Times New Roman"/>
                <w:snapToGrid w:val="0"/>
                <w:sz w:val="24"/>
                <w:szCs w:val="24"/>
              </w:rPr>
              <w:lastRenderedPageBreak/>
              <w:t>да развива научно-производствена, художествено-творческа, спортна и здравна дейност в съответствие със спецификата си, както и стопанска дейност, свързана с основната дейност на висшето училище по ал. 1 и реализацията на създаваните от него научноизследователски резултати и други обекти на интелектуална собственост.</w:t>
            </w:r>
          </w:p>
          <w:p w14:paraId="4572D08F" w14:textId="77777777" w:rsidR="009615E9" w:rsidRPr="00CF323B" w:rsidRDefault="009615E9" w:rsidP="009615E9">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(3) (Нова - ДВ, бр. 60 от 1999 г.) Учебната, научната, художествено-творческата и друга дейност, съответстваща на спецификата на висшето училище, се осигурява от висококвалифициран преподавателски, научно-преподавателски, изследователски или художествено-творчески състав, наричан по-нататък "академичен състав".</w:t>
            </w:r>
          </w:p>
          <w:p w14:paraId="60B7E31A" w14:textId="39C8C561" w:rsidR="009615E9" w:rsidRPr="00CF323B" w:rsidRDefault="009615E9" w:rsidP="009615E9">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(4) (Нова - ДВ, бр. 60 от 1999 г., изм., бр. 48 от 2004 г., доп., бр. 41 от 2007 г.)</w:t>
            </w:r>
            <w:r w:rsidRPr="00CF323B">
              <w:rPr>
                <w:rFonts w:ascii="Times New Roman" w:eastAsia="Times New Roman" w:hAnsi="Times New Roman" w:cs="Times New Roman"/>
                <w:noProof/>
                <w:snapToGrid w:val="0"/>
                <w:sz w:val="24"/>
                <w:szCs w:val="24"/>
                <w:lang w:eastAsia="bg-BG"/>
              </w:rPr>
              <w:drawing>
                <wp:inline distT="0" distB="0" distL="0" distR="0" wp14:anchorId="300FDC5C" wp14:editId="2A2DCAC6">
                  <wp:extent cx="106680" cy="93345"/>
                  <wp:effectExtent l="0" t="0" r="7620" b="1905"/>
                  <wp:docPr id="8" name="Picture 8" descr="https://web.apis.bg/k.gif">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https://web.apis.bg/k.gif">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93345"/>
                          </a:xfrm>
                          <a:prstGeom prst="rect">
                            <a:avLst/>
                          </a:prstGeom>
                          <a:noFill/>
                          <a:ln>
                            <a:noFill/>
                          </a:ln>
                        </pic:spPr>
                      </pic:pic>
                    </a:graphicData>
                  </a:graphic>
                </wp:inline>
              </w:drawing>
            </w:r>
            <w:r w:rsidRPr="00CF323B">
              <w:rPr>
                <w:rFonts w:ascii="Times New Roman" w:eastAsia="Times New Roman" w:hAnsi="Times New Roman" w:cs="Times New Roman"/>
                <w:snapToGrid w:val="0"/>
                <w:sz w:val="24"/>
                <w:szCs w:val="24"/>
              </w:rPr>
              <w:t> Висшето училище осигурява качеството на образованието и научните изследвания чрез вътрешна система за оценяване и поддържане на качеството на обучението и на академичния състав, която включва и проучване на студентското мнение най-малко веднъж за учебна година.</w:t>
            </w:r>
          </w:p>
          <w:p w14:paraId="77581DB4" w14:textId="5FD62606" w:rsidR="009615E9" w:rsidRPr="00CF323B" w:rsidRDefault="009615E9" w:rsidP="005C4208">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(5) (Нова - ДВ, бр. 48 от 2004 г., доп., бр. 41 от 2007 г.)</w:t>
            </w:r>
            <w:r w:rsidRPr="00CF323B">
              <w:rPr>
                <w:rFonts w:ascii="Times New Roman" w:eastAsia="Times New Roman" w:hAnsi="Times New Roman" w:cs="Times New Roman"/>
                <w:noProof/>
                <w:snapToGrid w:val="0"/>
                <w:sz w:val="24"/>
                <w:szCs w:val="24"/>
                <w:lang w:eastAsia="bg-BG"/>
              </w:rPr>
              <w:drawing>
                <wp:inline distT="0" distB="0" distL="0" distR="0" wp14:anchorId="6B85885D" wp14:editId="13A769C2">
                  <wp:extent cx="106680" cy="93345"/>
                  <wp:effectExtent l="0" t="0" r="7620" b="1905"/>
                  <wp:docPr id="7" name="Picture 7" descr="https://web.apis.bg/k.gif">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https://web.apis.bg/k.gif">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680" cy="93345"/>
                          </a:xfrm>
                          <a:prstGeom prst="rect">
                            <a:avLst/>
                          </a:prstGeom>
                          <a:noFill/>
                          <a:ln>
                            <a:noFill/>
                          </a:ln>
                        </pic:spPr>
                      </pic:pic>
                    </a:graphicData>
                  </a:graphic>
                </wp:inline>
              </w:drawing>
            </w:r>
            <w:r w:rsidRPr="00CF323B">
              <w:rPr>
                <w:rFonts w:ascii="Times New Roman" w:eastAsia="Times New Roman" w:hAnsi="Times New Roman" w:cs="Times New Roman"/>
                <w:snapToGrid w:val="0"/>
                <w:sz w:val="24"/>
                <w:szCs w:val="24"/>
              </w:rPr>
              <w:t> Целта на системата по ал. 4 е да контролира, поддържа и управлява качеството на образованието в предлаганите области на висшето образование и професионални направления, както и на академичния състав. Функциите и структурата на системата за поддържане на качеството по ал. 4, както и редът за проучване на студентското мнение и начинът на оповестяване на резултатите от него се уреждат в правилника за дейността на висшето училище.</w:t>
            </w:r>
          </w:p>
        </w:tc>
      </w:tr>
      <w:tr w:rsidR="00655AB9" w:rsidRPr="00CF323B" w14:paraId="2DF8E618" w14:textId="77777777" w:rsidTr="00E2753E">
        <w:tc>
          <w:tcPr>
            <w:tcW w:w="2645" w:type="dxa"/>
            <w:shd w:val="clear" w:color="auto" w:fill="E6E6E6"/>
          </w:tcPr>
          <w:p w14:paraId="14558E7F" w14:textId="77777777" w:rsidR="00655AB9" w:rsidRPr="00CF323B" w:rsidRDefault="00655AB9"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lastRenderedPageBreak/>
              <w:t>Група предприятия</w:t>
            </w:r>
          </w:p>
        </w:tc>
        <w:tc>
          <w:tcPr>
            <w:tcW w:w="6417" w:type="dxa"/>
            <w:shd w:val="clear" w:color="auto" w:fill="F3F3F3"/>
          </w:tcPr>
          <w:p w14:paraId="31484ACC" w14:textId="77777777" w:rsidR="00D93460" w:rsidRPr="00CF323B" w:rsidRDefault="00655AB9"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p w14:paraId="3D6A317A" w14:textId="77777777" w:rsidR="00D93460" w:rsidRPr="00CF323B" w:rsidRDefault="00D93460"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 xml:space="preserve">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възможността общия източник на </w:t>
            </w:r>
            <w:r w:rsidRPr="00CF323B">
              <w:rPr>
                <w:rFonts w:ascii="Times New Roman" w:eastAsia="Times New Roman" w:hAnsi="Times New Roman" w:cs="Times New Roman"/>
                <w:snapToGrid w:val="0"/>
                <w:sz w:val="24"/>
                <w:szCs w:val="24"/>
              </w:rPr>
              <w:lastRenderedPageBreak/>
              <w:t>контрол да се осъществява, както от предприятия, така и от физически лица, участващи в управлението им.</w:t>
            </w:r>
          </w:p>
        </w:tc>
      </w:tr>
      <w:tr w:rsidR="0019069B" w:rsidRPr="00CF323B" w14:paraId="329B06DE" w14:textId="77777777" w:rsidTr="00E2753E">
        <w:tc>
          <w:tcPr>
            <w:tcW w:w="2645" w:type="dxa"/>
            <w:shd w:val="clear" w:color="auto" w:fill="E6E6E6"/>
          </w:tcPr>
          <w:p w14:paraId="409FF937" w14:textId="77777777" w:rsidR="0019069B" w:rsidRPr="00CF323B" w:rsidRDefault="0019069B"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lastRenderedPageBreak/>
              <w:t>Дата на започване на работата</w:t>
            </w:r>
          </w:p>
        </w:tc>
        <w:tc>
          <w:tcPr>
            <w:tcW w:w="6417" w:type="dxa"/>
            <w:shd w:val="clear" w:color="auto" w:fill="F3F3F3"/>
          </w:tcPr>
          <w:p w14:paraId="54288C4B" w14:textId="77777777" w:rsidR="0019069B" w:rsidRPr="00CF323B" w:rsidRDefault="009944A0"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 xml:space="preserve">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w:t>
            </w:r>
          </w:p>
        </w:tc>
      </w:tr>
      <w:tr w:rsidR="0019069B" w:rsidRPr="00CF323B" w14:paraId="2AF1E090" w14:textId="77777777" w:rsidTr="00E2753E">
        <w:tc>
          <w:tcPr>
            <w:tcW w:w="2645" w:type="dxa"/>
            <w:shd w:val="clear" w:color="auto" w:fill="E6E6E6"/>
          </w:tcPr>
          <w:p w14:paraId="00634287" w14:textId="77777777" w:rsidR="0019069B" w:rsidRPr="00CF323B" w:rsidRDefault="0019069B"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Дейност</w:t>
            </w:r>
          </w:p>
        </w:tc>
        <w:tc>
          <w:tcPr>
            <w:tcW w:w="6417" w:type="dxa"/>
            <w:shd w:val="clear" w:color="auto" w:fill="F3F3F3"/>
          </w:tcPr>
          <w:p w14:paraId="7AFBDA47" w14:textId="77777777" w:rsidR="0019069B" w:rsidRPr="00CF323B" w:rsidRDefault="0019069B"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950DAB" w:rsidRPr="00CF323B" w14:paraId="4194BB85" w14:textId="77777777" w:rsidTr="00E2753E">
        <w:tc>
          <w:tcPr>
            <w:tcW w:w="2645" w:type="dxa"/>
            <w:shd w:val="clear" w:color="auto" w:fill="E6E6E6"/>
          </w:tcPr>
          <w:p w14:paraId="0A3B4CD5" w14:textId="77777777" w:rsidR="00950DAB" w:rsidRPr="00CF323B" w:rsidRDefault="002B03EC"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Експериментално развитие</w:t>
            </w:r>
          </w:p>
        </w:tc>
        <w:tc>
          <w:tcPr>
            <w:tcW w:w="6417" w:type="dxa"/>
            <w:shd w:val="clear" w:color="auto" w:fill="F3F3F3"/>
          </w:tcPr>
          <w:p w14:paraId="69DF10AA" w14:textId="33D8199D" w:rsidR="00F353A1" w:rsidRPr="00CF323B" w:rsidRDefault="00F353A1"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Съгласно чл. 2 Определения, пара</w:t>
            </w:r>
            <w:r w:rsidR="00CF323B">
              <w:rPr>
                <w:rFonts w:ascii="Times New Roman" w:eastAsia="Times New Roman" w:hAnsi="Times New Roman" w:cs="Times New Roman"/>
                <w:snapToGrid w:val="0"/>
                <w:sz w:val="24"/>
                <w:szCs w:val="24"/>
              </w:rPr>
              <w:t>граф</w:t>
            </w:r>
            <w:r w:rsidRPr="00CF323B">
              <w:rPr>
                <w:rFonts w:ascii="Times New Roman" w:eastAsia="Times New Roman" w:hAnsi="Times New Roman" w:cs="Times New Roman"/>
                <w:snapToGrid w:val="0"/>
                <w:sz w:val="24"/>
                <w:szCs w:val="24"/>
              </w:rPr>
              <w:t xml:space="preserve"> 86 от Регламент № 651/2014 НА КОМИСИЯТА от 17 юни 2014 година за обявяване на някои категории помощи за съвместими с вътрешния пазар в приложение на членове 107 и 108 от Договора </w:t>
            </w:r>
          </w:p>
          <w:p w14:paraId="6E1630EC" w14:textId="4DE1C8BE" w:rsidR="00893228" w:rsidRPr="00CF323B" w:rsidRDefault="00893228"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„Експериментално развитие“ означава придобиване, съчетаване, оформяне и използване на съществуващи научни, технологични, търговски и други важни знания и умения с цел разработване на нови или усъвършенствани продукти, процеси или услуги, включително цифрови продукти, процеси или услуги във всяка област, технология, промишленост или сектор (включително, но и не само цифрови отрасли и технологии, като например изчисления със суперкомпютър, квантови технологии, блокчейн технологии, изкуствен интелект, киберсигурност, големи информационни масиви и облачни технологии или технологии за периферни изчисления). Това например може да включва и дейности, имащи за цел задаването на концепция, планирането и документирането на нови продукти, процеси или услуги.</w:t>
            </w:r>
          </w:p>
          <w:p w14:paraId="645FCC96" w14:textId="77777777" w:rsidR="00893228" w:rsidRPr="00CF323B" w:rsidRDefault="00893228"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 xml:space="preserve">Експерименталното развитие може да включва разработване на прототипи, демонстрация, разработване на пилотни проекти, изпитване и валидиране на нови или усъвършенствани продукти, процеси или услуги в среда, която е представителна за оперативните условия в реалния живот, когато главната цел е по-нататъшното техническо подобряване на продукти, процеси или услуги, които не са в окончателния си вид. Това може да включва разработване на търговски използваеми прототипи или пилотни проекти, които са необходими за крайния търговски продукт и чието </w:t>
            </w:r>
            <w:r w:rsidRPr="00CF323B">
              <w:rPr>
                <w:rFonts w:ascii="Times New Roman" w:eastAsia="Times New Roman" w:hAnsi="Times New Roman" w:cs="Times New Roman"/>
                <w:snapToGrid w:val="0"/>
                <w:sz w:val="24"/>
                <w:szCs w:val="24"/>
              </w:rPr>
              <w:lastRenderedPageBreak/>
              <w:t>производство е твърде скъпо, за да бъдат използвани само за демонстрации и валидиране.</w:t>
            </w:r>
          </w:p>
          <w:p w14:paraId="0E006E50" w14:textId="4A388443" w:rsidR="00950DAB" w:rsidRPr="00CF323B" w:rsidRDefault="00893228"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Експерименталното развитие не включва рутинни и периодични изменения, въвеждани в съществуващи продукти, производствени линии, производствени процеси, услуги или други операции в процес на изпълнение, дори ако тези изменения може да представляват подобрения;</w:t>
            </w:r>
          </w:p>
        </w:tc>
      </w:tr>
      <w:tr w:rsidR="002B03EC" w:rsidRPr="00CF323B" w14:paraId="4D838EE3" w14:textId="77777777" w:rsidTr="00E2753E">
        <w:tc>
          <w:tcPr>
            <w:tcW w:w="2645" w:type="dxa"/>
            <w:shd w:val="clear" w:color="auto" w:fill="E6E6E6"/>
          </w:tcPr>
          <w:p w14:paraId="01EAA999" w14:textId="77777777" w:rsidR="002B03EC" w:rsidRPr="00CF323B" w:rsidRDefault="002B03EC"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lastRenderedPageBreak/>
              <w:t>Ефективно сътрудничество</w:t>
            </w:r>
          </w:p>
        </w:tc>
        <w:tc>
          <w:tcPr>
            <w:tcW w:w="6417" w:type="dxa"/>
            <w:shd w:val="clear" w:color="auto" w:fill="F3F3F3"/>
          </w:tcPr>
          <w:p w14:paraId="6951B534" w14:textId="77777777" w:rsidR="00F353A1" w:rsidRPr="00CF323B" w:rsidRDefault="00F353A1"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Съгласно дефиницията за „ефективно сътрудничество“ по чл. 2, пара. 90 от Регламент № 651/2014 НА КОМИСИЯТА от 17 юни 2014 година за обявяване на някои категории помощи за съвместими с вътрешния пазар в приложение на членове 107 и 108 от Договора, дадена</w:t>
            </w:r>
          </w:p>
          <w:p w14:paraId="4BA2F446" w14:textId="77777777" w:rsidR="00383645" w:rsidRPr="00CF323B" w:rsidRDefault="00383645"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w:t>
            </w:r>
            <w:r w:rsidR="002B03EC" w:rsidRPr="00CF323B">
              <w:rPr>
                <w:rFonts w:ascii="Times New Roman" w:eastAsia="Times New Roman" w:hAnsi="Times New Roman" w:cs="Times New Roman"/>
                <w:snapToGrid w:val="0"/>
                <w:sz w:val="24"/>
                <w:szCs w:val="24"/>
              </w:rPr>
              <w:t>Ефективно сътрудничество</w:t>
            </w:r>
            <w:r w:rsidRPr="00CF323B">
              <w:rPr>
                <w:rFonts w:ascii="Times New Roman" w:eastAsia="Times New Roman" w:hAnsi="Times New Roman" w:cs="Times New Roman"/>
                <w:snapToGrid w:val="0"/>
                <w:sz w:val="24"/>
                <w:szCs w:val="24"/>
              </w:rPr>
              <w:t>“</w:t>
            </w:r>
            <w:r w:rsidR="002B03EC" w:rsidRPr="00CF323B">
              <w:rPr>
                <w:rFonts w:ascii="Times New Roman" w:eastAsia="Times New Roman" w:hAnsi="Times New Roman" w:cs="Times New Roman"/>
                <w:snapToGrid w:val="0"/>
                <w:sz w:val="24"/>
                <w:szCs w:val="24"/>
              </w:rPr>
              <w:t xml:space="preserve"> означава сътрудничество между най-малко две независими страни за обмен на знания</w:t>
            </w:r>
            <w:r w:rsidRPr="00CF323B">
              <w:rPr>
                <w:rFonts w:ascii="Times New Roman" w:eastAsia="Times New Roman" w:hAnsi="Times New Roman" w:cs="Times New Roman"/>
                <w:snapToGrid w:val="0"/>
                <w:sz w:val="24"/>
                <w:szCs w:val="24"/>
              </w:rPr>
              <w:t xml:space="preserve"> </w:t>
            </w:r>
            <w:r w:rsidR="002B03EC" w:rsidRPr="00CF323B">
              <w:rPr>
                <w:rFonts w:ascii="Times New Roman" w:eastAsia="Times New Roman" w:hAnsi="Times New Roman" w:cs="Times New Roman"/>
                <w:snapToGrid w:val="0"/>
                <w:sz w:val="24"/>
                <w:szCs w:val="24"/>
              </w:rPr>
              <w:t>или технологии или за постигане на обща цел, основана на разделението на труда, при което страните определят</w:t>
            </w:r>
            <w:r w:rsidRPr="00CF323B">
              <w:rPr>
                <w:rFonts w:ascii="Times New Roman" w:eastAsia="Times New Roman" w:hAnsi="Times New Roman" w:cs="Times New Roman"/>
                <w:snapToGrid w:val="0"/>
                <w:sz w:val="24"/>
                <w:szCs w:val="24"/>
              </w:rPr>
              <w:t xml:space="preserve"> </w:t>
            </w:r>
            <w:r w:rsidR="002B03EC" w:rsidRPr="00CF323B">
              <w:rPr>
                <w:rFonts w:ascii="Times New Roman" w:eastAsia="Times New Roman" w:hAnsi="Times New Roman" w:cs="Times New Roman"/>
                <w:snapToGrid w:val="0"/>
                <w:sz w:val="24"/>
                <w:szCs w:val="24"/>
              </w:rPr>
              <w:t>заедно обхвата на съвместния проект, допринасят за осъществяването му и споделят рисковете и резултатите от</w:t>
            </w:r>
            <w:r w:rsidRPr="00CF323B">
              <w:rPr>
                <w:rFonts w:ascii="Times New Roman" w:eastAsia="Times New Roman" w:hAnsi="Times New Roman" w:cs="Times New Roman"/>
                <w:snapToGrid w:val="0"/>
                <w:sz w:val="24"/>
                <w:szCs w:val="24"/>
              </w:rPr>
              <w:t xml:space="preserve"> </w:t>
            </w:r>
            <w:r w:rsidR="002B03EC" w:rsidRPr="00CF323B">
              <w:rPr>
                <w:rFonts w:ascii="Times New Roman" w:eastAsia="Times New Roman" w:hAnsi="Times New Roman" w:cs="Times New Roman"/>
                <w:snapToGrid w:val="0"/>
                <w:sz w:val="24"/>
                <w:szCs w:val="24"/>
              </w:rPr>
              <w:t>него. Една или няколко страни могат да поемат пълните разходи по проекта и по този начин да облекчат другите</w:t>
            </w:r>
            <w:r w:rsidRPr="00CF323B">
              <w:rPr>
                <w:rFonts w:ascii="Times New Roman" w:eastAsia="Times New Roman" w:hAnsi="Times New Roman" w:cs="Times New Roman"/>
                <w:snapToGrid w:val="0"/>
                <w:sz w:val="24"/>
                <w:szCs w:val="24"/>
              </w:rPr>
              <w:t xml:space="preserve"> </w:t>
            </w:r>
            <w:r w:rsidR="002B03EC" w:rsidRPr="00CF323B">
              <w:rPr>
                <w:rFonts w:ascii="Times New Roman" w:eastAsia="Times New Roman" w:hAnsi="Times New Roman" w:cs="Times New Roman"/>
                <w:snapToGrid w:val="0"/>
                <w:sz w:val="24"/>
                <w:szCs w:val="24"/>
              </w:rPr>
              <w:t xml:space="preserve">страни от финансовите му рискове. </w:t>
            </w:r>
          </w:p>
          <w:p w14:paraId="072FBD73" w14:textId="16295B5E" w:rsidR="002B03EC" w:rsidRPr="00CF323B" w:rsidRDefault="002B03EC"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Извършването на научни изследвания, възложени по силата на договор, и</w:t>
            </w:r>
            <w:r w:rsidR="00383645" w:rsidRPr="00CF323B">
              <w:rPr>
                <w:rFonts w:ascii="Times New Roman" w:eastAsia="Times New Roman" w:hAnsi="Times New Roman" w:cs="Times New Roman"/>
                <w:snapToGrid w:val="0"/>
                <w:sz w:val="24"/>
                <w:szCs w:val="24"/>
              </w:rPr>
              <w:t xml:space="preserve"> </w:t>
            </w:r>
            <w:r w:rsidRPr="00CF323B">
              <w:rPr>
                <w:rFonts w:ascii="Times New Roman" w:eastAsia="Times New Roman" w:hAnsi="Times New Roman" w:cs="Times New Roman"/>
                <w:snapToGrid w:val="0"/>
                <w:sz w:val="24"/>
                <w:szCs w:val="24"/>
              </w:rPr>
              <w:t>предоставянето на изследователски услуги не се считат за форми на сътрудничество</w:t>
            </w:r>
            <w:r w:rsidR="00647A60" w:rsidRPr="00CF323B">
              <w:rPr>
                <w:rFonts w:ascii="Times New Roman" w:eastAsia="Times New Roman" w:hAnsi="Times New Roman" w:cs="Times New Roman"/>
                <w:snapToGrid w:val="0"/>
                <w:sz w:val="24"/>
                <w:szCs w:val="24"/>
              </w:rPr>
              <w:t>.</w:t>
            </w:r>
          </w:p>
        </w:tc>
      </w:tr>
      <w:tr w:rsidR="00207A2E" w:rsidRPr="00CF323B" w14:paraId="1601D387" w14:textId="77777777" w:rsidTr="00E2753E">
        <w:tc>
          <w:tcPr>
            <w:tcW w:w="2645" w:type="dxa"/>
            <w:shd w:val="clear" w:color="auto" w:fill="E6E6E6"/>
          </w:tcPr>
          <w:p w14:paraId="4B0D7773" w14:textId="77777777" w:rsidR="00207A2E" w:rsidRPr="00CF323B" w:rsidRDefault="00207A2E"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 xml:space="preserve">Изпълнител, определен от страна на бенефициента </w:t>
            </w:r>
          </w:p>
        </w:tc>
        <w:tc>
          <w:tcPr>
            <w:tcW w:w="6417" w:type="dxa"/>
            <w:shd w:val="clear" w:color="auto" w:fill="F3F3F3"/>
          </w:tcPr>
          <w:p w14:paraId="5EAC6093" w14:textId="102BC51D" w:rsidR="00207A2E" w:rsidRPr="00CF323B" w:rsidRDefault="00207A2E"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Изпълнители на дейности по проекта, възложени им от бенефициентите на безвъзмездна финансова помощ.</w:t>
            </w:r>
            <w:r w:rsidR="00045584" w:rsidRPr="00CF323B">
              <w:rPr>
                <w:rFonts w:ascii="Times New Roman" w:eastAsia="Times New Roman" w:hAnsi="Times New Roman" w:cs="Times New Roman"/>
                <w:snapToGrid w:val="0"/>
                <w:sz w:val="24"/>
                <w:szCs w:val="24"/>
              </w:rPr>
              <w:t xml:space="preserve"> </w:t>
            </w:r>
            <w:r w:rsidR="00D31E18" w:rsidRPr="00CF323B">
              <w:rPr>
                <w:rFonts w:ascii="Times New Roman" w:eastAsia="Times New Roman" w:hAnsi="Times New Roman" w:cs="Times New Roman"/>
                <w:snapToGrid w:val="0"/>
                <w:sz w:val="24"/>
                <w:szCs w:val="24"/>
              </w:rPr>
              <w:t>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w:t>
            </w:r>
            <w:r w:rsidR="008A6036" w:rsidRPr="00CF323B">
              <w:rPr>
                <w:rFonts w:ascii="Times New Roman" w:eastAsia="Times New Roman" w:hAnsi="Times New Roman" w:cs="Times New Roman"/>
                <w:snapToGrid w:val="0"/>
                <w:sz w:val="24"/>
                <w:szCs w:val="24"/>
              </w:rPr>
              <w:t>ФСУ</w:t>
            </w:r>
            <w:r w:rsidR="00D31E18" w:rsidRPr="00CF323B">
              <w:rPr>
                <w:rFonts w:ascii="Times New Roman" w:eastAsia="Times New Roman" w:hAnsi="Times New Roman" w:cs="Times New Roman"/>
                <w:snapToGrid w:val="0"/>
                <w:sz w:val="24"/>
                <w:szCs w:val="24"/>
              </w:rPr>
              <w:t xml:space="preserve">,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безвъзмездна финансова помощ по </w:t>
            </w:r>
            <w:r w:rsidR="00C0108B" w:rsidRPr="00CF323B">
              <w:rPr>
                <w:rFonts w:ascii="Times New Roman" w:eastAsia="Times New Roman" w:hAnsi="Times New Roman" w:cs="Times New Roman"/>
                <w:snapToGrid w:val="0"/>
                <w:sz w:val="24"/>
                <w:szCs w:val="24"/>
              </w:rPr>
              <w:t>ПНИИДИТ</w:t>
            </w:r>
            <w:r w:rsidR="00D31E18" w:rsidRPr="00CF323B">
              <w:rPr>
                <w:rFonts w:ascii="Times New Roman" w:eastAsia="Times New Roman" w:hAnsi="Times New Roman" w:cs="Times New Roman"/>
                <w:snapToGrid w:val="0"/>
                <w:sz w:val="24"/>
                <w:szCs w:val="24"/>
              </w:rPr>
              <w:t>.</w:t>
            </w:r>
          </w:p>
        </w:tc>
      </w:tr>
      <w:tr w:rsidR="0057352F" w:rsidRPr="00CF323B" w14:paraId="7604E348" w14:textId="77777777" w:rsidTr="00E2753E">
        <w:tc>
          <w:tcPr>
            <w:tcW w:w="2645" w:type="dxa"/>
            <w:shd w:val="clear" w:color="auto" w:fill="E6E6E6"/>
          </w:tcPr>
          <w:p w14:paraId="5F1C99A3" w14:textId="77777777" w:rsidR="0057352F" w:rsidRPr="00CF323B" w:rsidRDefault="0057352F"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Индустриални научни изследвания</w:t>
            </w:r>
          </w:p>
        </w:tc>
        <w:tc>
          <w:tcPr>
            <w:tcW w:w="6417" w:type="dxa"/>
            <w:shd w:val="clear" w:color="auto" w:fill="F3F3F3"/>
          </w:tcPr>
          <w:p w14:paraId="4795837A" w14:textId="77777777" w:rsidR="00F353A1" w:rsidRPr="00CF323B" w:rsidRDefault="00F353A1"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 xml:space="preserve">Съгласно чл. 2 Определения, параграф 85 от Регламент № 651/2014 НА КОМИСИЯТА от 17 юни 2014 година за обявяване на някои категории помощи за съвместими с вътрешния пазар в приложение на членове 107 и 108 от Договора </w:t>
            </w:r>
          </w:p>
          <w:p w14:paraId="33D2CDED" w14:textId="724476FC" w:rsidR="00893228" w:rsidRPr="00CF323B" w:rsidRDefault="00893228"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lastRenderedPageBreak/>
              <w:t xml:space="preserve">„Индустриални научни изследвания“ означава планирани научни изследвания или проучвания от изключително значение, предназначени за придобиването на нови знания и умения за разработване на нови продукти, процеси или услуги или насочени към постигане на съществени подобрения на съществуващи продукти, процеси или услуги, включително цифрови продукти, процеси или услуги, във всяка област, технология, промишленост или сектор (включително, но и не само цифрови отрасли и технологии, като например изчисления със суперкомпютър, квантови технологии, блокчейн технологии, изкуствен интелект, киберсигурност, големи информационни масиви и облачни технологии). </w:t>
            </w:r>
          </w:p>
          <w:p w14:paraId="673EF9E0" w14:textId="3932DA76" w:rsidR="0057352F" w:rsidRPr="00CF323B" w:rsidRDefault="00893228"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Индустриалните научни изследвания обхващат създаването на компоненти на сложни системи и може да включват конструирането на прототипи в лабораторна среда или среда със симулирани интерфейси към съществуващи системи, както и създаването на пилотни линии, когато това е необходимо за индустриалните научни изследвания, по-специално за валидирането на технологии с широко приложение;</w:t>
            </w:r>
          </w:p>
        </w:tc>
      </w:tr>
      <w:tr w:rsidR="00502F9C" w:rsidRPr="00CF323B" w14:paraId="36B59D72" w14:textId="77777777" w:rsidTr="00E2753E">
        <w:tc>
          <w:tcPr>
            <w:tcW w:w="2645" w:type="dxa"/>
            <w:shd w:val="clear" w:color="auto" w:fill="E6E6E6"/>
          </w:tcPr>
          <w:p w14:paraId="425EBCE1" w14:textId="77777777" w:rsidR="00502F9C" w:rsidRPr="00CF323B" w:rsidRDefault="00502F9C"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lastRenderedPageBreak/>
              <w:t>Кандидати</w:t>
            </w:r>
          </w:p>
        </w:tc>
        <w:tc>
          <w:tcPr>
            <w:tcW w:w="6417" w:type="dxa"/>
            <w:shd w:val="clear" w:color="auto" w:fill="F3F3F3"/>
          </w:tcPr>
          <w:p w14:paraId="4780E3F2" w14:textId="77777777" w:rsidR="00502F9C" w:rsidRPr="00CF323B" w:rsidRDefault="00502F9C"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3C6307" w:rsidRPr="00CF323B" w14:paraId="37F32090" w14:textId="77777777" w:rsidTr="00E2753E">
        <w:tc>
          <w:tcPr>
            <w:tcW w:w="2645" w:type="dxa"/>
            <w:shd w:val="clear" w:color="auto" w:fill="E6E6E6"/>
          </w:tcPr>
          <w:p w14:paraId="294F812D" w14:textId="40C2BA87" w:rsidR="003C6307" w:rsidRPr="00CF323B" w:rsidRDefault="003C6307"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Конвенция на ООН за правата на хората с увреждания</w:t>
            </w:r>
          </w:p>
        </w:tc>
        <w:tc>
          <w:tcPr>
            <w:tcW w:w="6417" w:type="dxa"/>
            <w:shd w:val="clear" w:color="auto" w:fill="F3F3F3"/>
          </w:tcPr>
          <w:p w14:paraId="097AAC95"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Прилагането и изпълнението на Конвенцията на ООН за правата на хората с увреждания цели осигуряване на зачитането и защитата на всички основни права на хората с увреждания, сред които са:</w:t>
            </w:r>
          </w:p>
          <w:p w14:paraId="423B73F2"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 право на равенство и забрана на дискриминация;</w:t>
            </w:r>
          </w:p>
          <w:p w14:paraId="7DDBDE02"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 право на жените с увреждания за подпомагане при пълноценното им упражняване на всички права на човека и основни свободи;</w:t>
            </w:r>
          </w:p>
          <w:p w14:paraId="76E0DD6C"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 право на децата с увреждания свободно да изразяват становища по всякакви въпроси, които ги засягат, като на техните становища се придава подобаваща тежест в съответствие с възрастта и степента им на зрялост;</w:t>
            </w:r>
          </w:p>
          <w:p w14:paraId="2B9B6B40"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 xml:space="preserve">- повишаване на общественото съзнание, достъпност, право на живот, равнопоставеност пред закона, достъп до правосъдие, защита срещу изтезания или жестоко, нечовешко или унизително отнасяне или наказание, защита </w:t>
            </w:r>
            <w:r w:rsidRPr="00CF323B">
              <w:rPr>
                <w:rFonts w:ascii="Times New Roman" w:eastAsia="Times New Roman" w:hAnsi="Times New Roman" w:cs="Times New Roman"/>
                <w:snapToGrid w:val="0"/>
                <w:sz w:val="24"/>
                <w:szCs w:val="24"/>
              </w:rPr>
              <w:lastRenderedPageBreak/>
              <w:t>срещу експлоатация, насилие и тормоз, защита на целостта и ненакърнимостта на личността;</w:t>
            </w:r>
          </w:p>
          <w:p w14:paraId="046E4933"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 независим живот и включване в общността, лична мобилност, свобода на изразяване и на мнение, свобода на достъпа до информация, зачитане на личната неприкосновеност, уважение към дома и семейството, образование, здравеопазване, абилитация и рехабилитация;</w:t>
            </w:r>
          </w:p>
          <w:p w14:paraId="6A1B64B3" w14:textId="15FADFEE"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 работа и заетост, подходящ жизнен стандарт и социална закрила, участие в политическия и обществения живот, участие в културния живот, почивка, свободно време и спорт, статистика и събиране на данни, международно сътрудничество.</w:t>
            </w:r>
          </w:p>
        </w:tc>
      </w:tr>
      <w:tr w:rsidR="003C6307" w:rsidRPr="00CF323B" w14:paraId="3C0234FD" w14:textId="77777777" w:rsidTr="00E2753E">
        <w:tc>
          <w:tcPr>
            <w:tcW w:w="2645" w:type="dxa"/>
            <w:shd w:val="clear" w:color="auto" w:fill="E6E6E6"/>
          </w:tcPr>
          <w:p w14:paraId="63643D25" w14:textId="1AD5A6D8" w:rsidR="003C6307" w:rsidRPr="00CF323B" w:rsidRDefault="003C6307"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lastRenderedPageBreak/>
              <w:t xml:space="preserve">Консултантски услуги в областта на иновациите </w:t>
            </w:r>
          </w:p>
        </w:tc>
        <w:tc>
          <w:tcPr>
            <w:tcW w:w="6417" w:type="dxa"/>
            <w:shd w:val="clear" w:color="auto" w:fill="F3F3F3"/>
          </w:tcPr>
          <w:p w14:paraId="178A9EFE" w14:textId="49CCF159"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По смисъла на чл. 2, пар</w:t>
            </w:r>
            <w:r w:rsidR="00CF323B">
              <w:rPr>
                <w:rFonts w:ascii="Times New Roman" w:eastAsia="Times New Roman" w:hAnsi="Times New Roman" w:cs="Times New Roman"/>
                <w:snapToGrid w:val="0"/>
                <w:sz w:val="24"/>
                <w:szCs w:val="24"/>
              </w:rPr>
              <w:t>а</w:t>
            </w:r>
            <w:r w:rsidRPr="00CF323B">
              <w:rPr>
                <w:rFonts w:ascii="Times New Roman" w:eastAsia="Times New Roman" w:hAnsi="Times New Roman" w:cs="Times New Roman"/>
                <w:snapToGrid w:val="0"/>
                <w:sz w:val="24"/>
                <w:szCs w:val="24"/>
              </w:rPr>
              <w:t>. 94 от Регламент (ЕО) № 651/2014 „консултантски услуги в областта на иновациите</w:t>
            </w:r>
            <w:r w:rsidR="00F353A1" w:rsidRPr="00CF323B">
              <w:rPr>
                <w:rFonts w:ascii="Times New Roman" w:eastAsia="Times New Roman" w:hAnsi="Times New Roman" w:cs="Times New Roman"/>
                <w:snapToGrid w:val="0"/>
                <w:sz w:val="24"/>
                <w:szCs w:val="24"/>
              </w:rPr>
              <w:t>“</w:t>
            </w:r>
            <w:r w:rsidRPr="00CF323B">
              <w:rPr>
                <w:rFonts w:ascii="Times New Roman" w:eastAsia="Times New Roman" w:hAnsi="Times New Roman" w:cs="Times New Roman"/>
                <w:snapToGrid w:val="0"/>
                <w:sz w:val="24"/>
                <w:szCs w:val="24"/>
              </w:rPr>
              <w:t xml:space="preserve"> означава  консултиране, подпомагане и обучение в областта на трансфера на знания, придобиването, защитата и експлоатацията на нематериални активи, използването на стандарти и на правилата, които ги уреждат. </w:t>
            </w:r>
          </w:p>
        </w:tc>
      </w:tr>
      <w:tr w:rsidR="003C6307" w:rsidRPr="00CF323B" w14:paraId="699742F7" w14:textId="77777777" w:rsidTr="00E2753E">
        <w:tc>
          <w:tcPr>
            <w:tcW w:w="2645" w:type="dxa"/>
            <w:shd w:val="clear" w:color="auto" w:fill="E6E6E6"/>
          </w:tcPr>
          <w:p w14:paraId="7065F2C8" w14:textId="77777777" w:rsidR="003C6307" w:rsidRPr="00CF323B" w:rsidRDefault="003C6307"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Материални активи</w:t>
            </w:r>
          </w:p>
        </w:tc>
        <w:tc>
          <w:tcPr>
            <w:tcW w:w="6417" w:type="dxa"/>
            <w:shd w:val="clear" w:color="auto" w:fill="F3F3F3"/>
          </w:tcPr>
          <w:p w14:paraId="121FD0BB" w14:textId="17BEC469"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По смисъла на чл. 2, пар</w:t>
            </w:r>
            <w:r w:rsidR="00CF323B">
              <w:rPr>
                <w:rFonts w:ascii="Times New Roman" w:eastAsia="Times New Roman" w:hAnsi="Times New Roman" w:cs="Times New Roman"/>
                <w:snapToGrid w:val="0"/>
                <w:sz w:val="24"/>
                <w:szCs w:val="24"/>
              </w:rPr>
              <w:t>а</w:t>
            </w:r>
            <w:r w:rsidRPr="00CF323B">
              <w:rPr>
                <w:rFonts w:ascii="Times New Roman" w:eastAsia="Times New Roman" w:hAnsi="Times New Roman" w:cs="Times New Roman"/>
                <w:snapToGrid w:val="0"/>
                <w:sz w:val="24"/>
                <w:szCs w:val="24"/>
              </w:rPr>
              <w:t>. 29 от Регламент (ЕО) № 651/2014 „материални активи</w:t>
            </w:r>
            <w:r w:rsidR="00F353A1" w:rsidRPr="00CF323B">
              <w:rPr>
                <w:rFonts w:ascii="Times New Roman" w:eastAsia="Times New Roman" w:hAnsi="Times New Roman" w:cs="Times New Roman"/>
                <w:snapToGrid w:val="0"/>
                <w:sz w:val="24"/>
                <w:szCs w:val="24"/>
              </w:rPr>
              <w:t>“</w:t>
            </w:r>
            <w:r w:rsidRPr="00CF323B">
              <w:rPr>
                <w:rFonts w:ascii="Times New Roman" w:eastAsia="Times New Roman" w:hAnsi="Times New Roman" w:cs="Times New Roman"/>
                <w:snapToGrid w:val="0"/>
                <w:sz w:val="24"/>
                <w:szCs w:val="24"/>
              </w:rPr>
              <w:t xml:space="preserve"> означава активи, състоящи се от земя, сгради, съоръжения, машини и оборудване.</w:t>
            </w:r>
          </w:p>
        </w:tc>
      </w:tr>
      <w:tr w:rsidR="003C6307" w:rsidRPr="00CF323B" w14:paraId="611F466B" w14:textId="77777777" w:rsidTr="00E2753E">
        <w:tc>
          <w:tcPr>
            <w:tcW w:w="2645" w:type="dxa"/>
            <w:shd w:val="clear" w:color="auto" w:fill="E6E6E6"/>
          </w:tcPr>
          <w:p w14:paraId="6AF0DDF0" w14:textId="77777777" w:rsidR="003C6307" w:rsidRPr="00CF323B" w:rsidRDefault="003C6307"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Микро-, малки и средни предприятия (МСП)</w:t>
            </w:r>
          </w:p>
        </w:tc>
        <w:tc>
          <w:tcPr>
            <w:tcW w:w="6417" w:type="dxa"/>
            <w:shd w:val="clear" w:color="auto" w:fill="F3F3F3"/>
          </w:tcPr>
          <w:p w14:paraId="357F22B8"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По смисъла на чл. 3 и чл. 4 от Закона за малките и средните предприятия (ЗМСП) и Препоръка на Комисията от 6 май 2003 г. относно определението за микро-, малки и средни предприятия (ОВ L 124, 20.5.2003 г., стр. 36).</w:t>
            </w:r>
          </w:p>
          <w:p w14:paraId="6963C149"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Съгласно чл. 3, ал. 1 от ЗМСП, категорията малки и средни предприятия включва предприятията, които имат:</w:t>
            </w:r>
          </w:p>
          <w:p w14:paraId="32FB028F"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1. средносписъчен брой на персонала, по-малък от 250 души, и</w:t>
            </w:r>
          </w:p>
          <w:p w14:paraId="629DF726"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2. годишен оборот, който не превишава 97 500 000 лв., и/или стойност на активите, която не превишава 84 000 000 лв.</w:t>
            </w:r>
          </w:p>
        </w:tc>
      </w:tr>
      <w:tr w:rsidR="003C6307" w:rsidRPr="00CF323B" w14:paraId="029965D2" w14:textId="77777777" w:rsidTr="00E2753E">
        <w:tc>
          <w:tcPr>
            <w:tcW w:w="2645" w:type="dxa"/>
            <w:shd w:val="clear" w:color="auto" w:fill="E6E6E6"/>
          </w:tcPr>
          <w:p w14:paraId="569EDD2C" w14:textId="77777777" w:rsidR="003C6307" w:rsidRPr="00CF323B" w:rsidRDefault="003C6307"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 xml:space="preserve">Място на изпълнение на проекта </w:t>
            </w:r>
          </w:p>
        </w:tc>
        <w:tc>
          <w:tcPr>
            <w:tcW w:w="6417" w:type="dxa"/>
            <w:shd w:val="clear" w:color="auto" w:fill="F3F3F3"/>
          </w:tcPr>
          <w:p w14:paraId="2797B8CD" w14:textId="5F5D97A9"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Мястото на физическото осъществяване на инвестицията/дейността</w:t>
            </w:r>
            <w:r w:rsidR="002A3700" w:rsidRPr="00CF323B">
              <w:rPr>
                <w:rStyle w:val="FootnoteReference"/>
                <w:rFonts w:ascii="Times New Roman" w:eastAsia="Times New Roman" w:hAnsi="Times New Roman" w:cs="Times New Roman"/>
                <w:snapToGrid w:val="0"/>
                <w:sz w:val="24"/>
                <w:szCs w:val="24"/>
              </w:rPr>
              <w:footnoteReference w:id="1"/>
            </w:r>
            <w:r w:rsidRPr="00CF323B">
              <w:rPr>
                <w:rFonts w:ascii="Times New Roman" w:eastAsia="Times New Roman" w:hAnsi="Times New Roman" w:cs="Times New Roman"/>
                <w:snapToGrid w:val="0"/>
                <w:sz w:val="24"/>
                <w:szCs w:val="24"/>
              </w:rPr>
              <w:t>.</w:t>
            </w:r>
          </w:p>
        </w:tc>
      </w:tr>
      <w:tr w:rsidR="003C6307" w:rsidRPr="00CF323B" w14:paraId="0E2223AF" w14:textId="77777777" w:rsidTr="00E2753E">
        <w:tc>
          <w:tcPr>
            <w:tcW w:w="2645" w:type="dxa"/>
            <w:shd w:val="clear" w:color="auto" w:fill="E6E6E6"/>
          </w:tcPr>
          <w:p w14:paraId="761DE99D" w14:textId="02CB4989" w:rsidR="003C6307" w:rsidRPr="00CF323B" w:rsidRDefault="003C6307"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lastRenderedPageBreak/>
              <w:t>Наети лица</w:t>
            </w:r>
          </w:p>
        </w:tc>
        <w:tc>
          <w:tcPr>
            <w:tcW w:w="6417" w:type="dxa"/>
            <w:shd w:val="clear" w:color="auto" w:fill="F3F3F3"/>
          </w:tcPr>
          <w:p w14:paraId="7498347A" w14:textId="038F2AAB"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Наети лица са лицата, които са в трудово правоотношение с работодателя съгласно Кодекса на труда и в служебно правоотношение съгласно Закона за държавния служител, по силата на които правоотношения те получават възнаграждение в пари или натура под формата на работна заплата за извършена в определен обем и качество работа, независимо дали договорът за наемане е постоянен или временен, на пълно или непълно работно време.</w:t>
            </w:r>
          </w:p>
        </w:tc>
      </w:tr>
      <w:tr w:rsidR="004327E3" w:rsidRPr="00CF323B" w14:paraId="5C9AC6D5" w14:textId="77777777" w:rsidTr="00E2753E">
        <w:tc>
          <w:tcPr>
            <w:tcW w:w="2645" w:type="dxa"/>
            <w:shd w:val="clear" w:color="auto" w:fill="E6E6E6"/>
          </w:tcPr>
          <w:p w14:paraId="06E3B5B1" w14:textId="44097FAE" w:rsidR="004327E3" w:rsidRPr="00CF323B" w:rsidRDefault="004327E3"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Научна организация</w:t>
            </w:r>
          </w:p>
        </w:tc>
        <w:tc>
          <w:tcPr>
            <w:tcW w:w="6417" w:type="dxa"/>
            <w:shd w:val="clear" w:color="auto" w:fill="F3F3F3"/>
          </w:tcPr>
          <w:p w14:paraId="75C00838" w14:textId="77777777" w:rsidR="004327E3" w:rsidRPr="00CF323B" w:rsidRDefault="009615E9"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Съгласно, допълнителните разпоредби на ЗННИИ:</w:t>
            </w:r>
          </w:p>
          <w:p w14:paraId="26879503" w14:textId="77777777" w:rsidR="009615E9" w:rsidRPr="00CF323B" w:rsidRDefault="009615E9" w:rsidP="009615E9">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b/>
                <w:bCs/>
                <w:snapToGrid w:val="0"/>
                <w:sz w:val="24"/>
                <w:szCs w:val="24"/>
              </w:rPr>
              <w:t>§ 1</w:t>
            </w:r>
            <w:r w:rsidRPr="00CF323B">
              <w:rPr>
                <w:rFonts w:ascii="Times New Roman" w:eastAsia="Times New Roman" w:hAnsi="Times New Roman" w:cs="Times New Roman"/>
                <w:snapToGrid w:val="0"/>
                <w:sz w:val="24"/>
                <w:szCs w:val="24"/>
              </w:rPr>
              <w:t>. По смисъла на този закон:</w:t>
            </w:r>
          </w:p>
          <w:p w14:paraId="3A6C5D5F" w14:textId="77777777" w:rsidR="009615E9" w:rsidRPr="00CF323B" w:rsidRDefault="009615E9" w:rsidP="009615E9">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1. "</w:t>
            </w:r>
            <w:bookmarkStart w:id="2" w:name="ld185"/>
            <w:r w:rsidRPr="00CF323B">
              <w:rPr>
                <w:rFonts w:ascii="Times New Roman" w:eastAsia="Times New Roman" w:hAnsi="Times New Roman" w:cs="Times New Roman"/>
                <w:snapToGrid w:val="0"/>
                <w:sz w:val="24"/>
                <w:szCs w:val="24"/>
              </w:rPr>
              <w:t>Научна организация</w:t>
            </w:r>
            <w:bookmarkEnd w:id="2"/>
            <w:r w:rsidRPr="00CF323B">
              <w:rPr>
                <w:rFonts w:ascii="Times New Roman" w:eastAsia="Times New Roman" w:hAnsi="Times New Roman" w:cs="Times New Roman"/>
                <w:snapToGrid w:val="0"/>
                <w:sz w:val="24"/>
                <w:szCs w:val="24"/>
              </w:rPr>
              <w:t>" е:</w:t>
            </w:r>
          </w:p>
          <w:p w14:paraId="6A46D1B6" w14:textId="1814937D" w:rsidR="009615E9" w:rsidRPr="00CF323B" w:rsidRDefault="009615E9" w:rsidP="009615E9">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а) организация по </w:t>
            </w:r>
            <w:r w:rsidRPr="00176EAD">
              <w:rPr>
                <w:rFonts w:ascii="Times New Roman" w:eastAsia="Times New Roman" w:hAnsi="Times New Roman" w:cs="Times New Roman"/>
                <w:snapToGrid w:val="0"/>
                <w:sz w:val="24"/>
                <w:szCs w:val="24"/>
              </w:rPr>
              <w:t>чл. 47, ал. 1 от Закона за висшето образование</w:t>
            </w:r>
            <w:r w:rsidRPr="00CF323B">
              <w:rPr>
                <w:rFonts w:ascii="Times New Roman" w:eastAsia="Times New Roman" w:hAnsi="Times New Roman" w:cs="Times New Roman"/>
                <w:snapToGrid w:val="0"/>
                <w:sz w:val="24"/>
                <w:szCs w:val="24"/>
              </w:rPr>
              <w:t>;</w:t>
            </w:r>
          </w:p>
          <w:p w14:paraId="39E828E8" w14:textId="77777777" w:rsidR="009615E9" w:rsidRPr="00CF323B" w:rsidRDefault="009615E9" w:rsidP="009615E9">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б) друго юридическо лице, за което едновременно са налице следните условия:</w:t>
            </w:r>
          </w:p>
          <w:p w14:paraId="1A761471" w14:textId="77777777" w:rsidR="009615E9" w:rsidRPr="00CF323B" w:rsidRDefault="009615E9" w:rsidP="009615E9">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аа) осъществява научноизследователска дейност, за която е отчело повече от половината си разходи през всяка една от последните три години;</w:t>
            </w:r>
          </w:p>
          <w:p w14:paraId="3EFAE374" w14:textId="77777777" w:rsidR="009615E9" w:rsidRPr="00CF323B" w:rsidRDefault="009615E9" w:rsidP="009615E9">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бб) има научни публикации в индексирани и реферирани научни издания;</w:t>
            </w:r>
          </w:p>
          <w:p w14:paraId="68BE038A" w14:textId="2D9837D8" w:rsidR="0052058A" w:rsidRPr="00CF323B" w:rsidRDefault="009615E9" w:rsidP="0052058A">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вв) назначени са на трудово правоотношение за извършване на научни изследвания най-малко 7 лица, които са придобили образователна и научна степен "доктор".</w:t>
            </w:r>
          </w:p>
        </w:tc>
      </w:tr>
      <w:tr w:rsidR="003C6307" w:rsidRPr="00CF323B" w14:paraId="58481A00" w14:textId="77777777" w:rsidTr="00E2753E">
        <w:tc>
          <w:tcPr>
            <w:tcW w:w="2645" w:type="dxa"/>
            <w:shd w:val="clear" w:color="auto" w:fill="E6E6E6"/>
          </w:tcPr>
          <w:p w14:paraId="51E3D87E" w14:textId="77777777" w:rsidR="003C6307" w:rsidRPr="00CF323B" w:rsidRDefault="003C6307"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Национално съфинансиране</w:t>
            </w:r>
          </w:p>
        </w:tc>
        <w:tc>
          <w:tcPr>
            <w:tcW w:w="6417" w:type="dxa"/>
            <w:shd w:val="clear" w:color="auto" w:fill="F3F3F3"/>
          </w:tcPr>
          <w:p w14:paraId="2CF54440"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Съфинансиране, осигурено чрез трансфер от централния бюджет съгласно чл. 60, т. 2 от Закона за публичните финанси.</w:t>
            </w:r>
          </w:p>
        </w:tc>
      </w:tr>
      <w:tr w:rsidR="003C6307" w:rsidRPr="00CF323B" w14:paraId="2A668F0B" w14:textId="77777777" w:rsidTr="00E2753E">
        <w:tc>
          <w:tcPr>
            <w:tcW w:w="2645" w:type="dxa"/>
            <w:shd w:val="clear" w:color="auto" w:fill="E6E6E6"/>
          </w:tcPr>
          <w:p w14:paraId="611A482A" w14:textId="77777777" w:rsidR="003C6307" w:rsidRPr="00CF323B" w:rsidRDefault="003C6307"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Нематериални активи</w:t>
            </w:r>
          </w:p>
        </w:tc>
        <w:tc>
          <w:tcPr>
            <w:tcW w:w="6417" w:type="dxa"/>
            <w:shd w:val="clear" w:color="auto" w:fill="F3F3F3"/>
          </w:tcPr>
          <w:p w14:paraId="484F6F1D" w14:textId="64548BC6"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lang w:val="bg"/>
              </w:rPr>
            </w:pPr>
            <w:r w:rsidRPr="00CF323B">
              <w:rPr>
                <w:rFonts w:ascii="Times New Roman" w:eastAsia="Times New Roman" w:hAnsi="Times New Roman" w:cs="Times New Roman"/>
                <w:snapToGrid w:val="0"/>
                <w:sz w:val="24"/>
                <w:szCs w:val="24"/>
              </w:rPr>
              <w:t>По смисъла на чл. 2, пар</w:t>
            </w:r>
            <w:r w:rsidR="00CF323B">
              <w:rPr>
                <w:rFonts w:ascii="Times New Roman" w:eastAsia="Times New Roman" w:hAnsi="Times New Roman" w:cs="Times New Roman"/>
                <w:snapToGrid w:val="0"/>
                <w:sz w:val="24"/>
                <w:szCs w:val="24"/>
              </w:rPr>
              <w:t>а</w:t>
            </w:r>
            <w:r w:rsidRPr="00CF323B">
              <w:rPr>
                <w:rFonts w:ascii="Times New Roman" w:eastAsia="Times New Roman" w:hAnsi="Times New Roman" w:cs="Times New Roman"/>
                <w:snapToGrid w:val="0"/>
                <w:sz w:val="24"/>
                <w:szCs w:val="24"/>
              </w:rPr>
              <w:t xml:space="preserve">. 30 от Регламент (ЕО) № 651/2014 „Нематериални активи“ </w:t>
            </w:r>
            <w:r w:rsidRPr="00CF323B">
              <w:rPr>
                <w:rFonts w:ascii="Times New Roman" w:eastAsia="Times New Roman" w:hAnsi="Times New Roman" w:cs="Times New Roman"/>
                <w:snapToGrid w:val="0"/>
                <w:sz w:val="24"/>
                <w:szCs w:val="24"/>
                <w:lang w:val="bg"/>
              </w:rPr>
              <w:t>означава активи, които нямат физически или финансов израз, като патенти, лицензи, ноу- хау или друга интелектуална собственост.</w:t>
            </w:r>
          </w:p>
        </w:tc>
      </w:tr>
      <w:tr w:rsidR="003C6307" w:rsidRPr="00CF323B" w14:paraId="59F540A1" w14:textId="77777777" w:rsidTr="00E2753E">
        <w:tc>
          <w:tcPr>
            <w:tcW w:w="2645" w:type="dxa"/>
            <w:shd w:val="clear" w:color="auto" w:fill="E6E6E6"/>
          </w:tcPr>
          <w:p w14:paraId="3B8A54DD" w14:textId="77777777" w:rsidR="003C6307" w:rsidRPr="00CF323B" w:rsidRDefault="003C6307"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Ненанасяне на значителни вреди</w:t>
            </w:r>
          </w:p>
        </w:tc>
        <w:tc>
          <w:tcPr>
            <w:tcW w:w="6417" w:type="dxa"/>
            <w:shd w:val="clear" w:color="auto" w:fill="F3F3F3"/>
          </w:tcPr>
          <w:p w14:paraId="44E68125"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„Ненанасяне на значителни вреди“ означава да не се подкрепят или извършват икономически дейности, които нанасят значителни вреди на която и да било екологична цел, когато е приложимо, по смисъла на член 17 от Регламент (ЕС) 2020/852.</w:t>
            </w:r>
          </w:p>
        </w:tc>
      </w:tr>
      <w:tr w:rsidR="003C6307" w:rsidRPr="00CF323B" w14:paraId="6C88E28B" w14:textId="77777777" w:rsidTr="00E2753E">
        <w:tc>
          <w:tcPr>
            <w:tcW w:w="2645" w:type="dxa"/>
            <w:shd w:val="clear" w:color="auto" w:fill="E6E6E6"/>
          </w:tcPr>
          <w:p w14:paraId="30BD58AD" w14:textId="77777777" w:rsidR="003C6307" w:rsidRPr="00CF323B" w:rsidRDefault="003C6307" w:rsidP="00096F60">
            <w:pPr>
              <w:spacing w:before="120" w:after="120" w:line="240" w:lineRule="auto"/>
              <w:rPr>
                <w:rFonts w:ascii="Times New Roman" w:eastAsia="Times New Roman" w:hAnsi="Times New Roman" w:cs="Times New Roman"/>
                <w:b/>
                <w:snapToGrid w:val="0"/>
                <w:sz w:val="24"/>
                <w:szCs w:val="24"/>
                <w:highlight w:val="yellow"/>
              </w:rPr>
            </w:pPr>
            <w:r w:rsidRPr="00CF323B">
              <w:rPr>
                <w:rFonts w:ascii="Times New Roman" w:eastAsia="Times New Roman" w:hAnsi="Times New Roman" w:cs="Times New Roman"/>
                <w:b/>
                <w:snapToGrid w:val="0"/>
                <w:sz w:val="24"/>
                <w:szCs w:val="24"/>
              </w:rPr>
              <w:t xml:space="preserve">Нередност </w:t>
            </w:r>
          </w:p>
        </w:tc>
        <w:tc>
          <w:tcPr>
            <w:tcW w:w="6417" w:type="dxa"/>
            <w:shd w:val="clear" w:color="auto" w:fill="F3F3F3"/>
          </w:tcPr>
          <w:p w14:paraId="6AFFA5CF"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 xml:space="preserve">Всяко нарушение на приложимото право, произтичащо от действие или бездействие на икономически оператор, което </w:t>
            </w:r>
            <w:r w:rsidRPr="00CF323B">
              <w:rPr>
                <w:rFonts w:ascii="Times New Roman" w:eastAsia="Times New Roman" w:hAnsi="Times New Roman" w:cs="Times New Roman"/>
                <w:snapToGrid w:val="0"/>
                <w:sz w:val="24"/>
                <w:szCs w:val="24"/>
              </w:rPr>
              <w:lastRenderedPageBreak/>
              <w:t>има или би имало за последица нанасянето на вреда на бюджета на Съюза чрез начисляване на неправомерен разход в този бюджет.</w:t>
            </w:r>
          </w:p>
        </w:tc>
      </w:tr>
      <w:tr w:rsidR="003C6307" w:rsidRPr="00CF323B" w14:paraId="2F3B9B81" w14:textId="77777777" w:rsidTr="00E2753E">
        <w:tc>
          <w:tcPr>
            <w:tcW w:w="2645" w:type="dxa"/>
            <w:shd w:val="clear" w:color="auto" w:fill="E6E6E6"/>
          </w:tcPr>
          <w:p w14:paraId="430BEF73" w14:textId="77777777" w:rsidR="003C6307" w:rsidRPr="00CF323B" w:rsidRDefault="003C6307"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lastRenderedPageBreak/>
              <w:t>Партньори на кандидатите за безвъзмездна финансова помощ</w:t>
            </w:r>
          </w:p>
        </w:tc>
        <w:tc>
          <w:tcPr>
            <w:tcW w:w="6417" w:type="dxa"/>
            <w:shd w:val="clear" w:color="auto" w:fill="F3F3F3"/>
          </w:tcPr>
          <w:p w14:paraId="3BEDDCC7" w14:textId="04474AAE" w:rsidR="003C6307" w:rsidRPr="00CF323B" w:rsidRDefault="00F353A1"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w:t>
            </w:r>
            <w:r w:rsidR="003C6307" w:rsidRPr="00CF323B">
              <w:rPr>
                <w:rFonts w:ascii="Times New Roman" w:eastAsia="Times New Roman" w:hAnsi="Times New Roman" w:cs="Times New Roman"/>
                <w:snapToGrid w:val="0"/>
                <w:sz w:val="24"/>
                <w:szCs w:val="24"/>
              </w:rPr>
              <w:t>Партньори на кандидатите за безвъзмездна финансова помощ</w:t>
            </w:r>
            <w:r w:rsidRPr="00CF323B">
              <w:rPr>
                <w:rFonts w:ascii="Times New Roman" w:eastAsia="Times New Roman" w:hAnsi="Times New Roman" w:cs="Times New Roman"/>
                <w:snapToGrid w:val="0"/>
                <w:sz w:val="24"/>
                <w:szCs w:val="24"/>
              </w:rPr>
              <w:t>“</w:t>
            </w:r>
            <w:r w:rsidR="003C6307" w:rsidRPr="00CF323B">
              <w:rPr>
                <w:rFonts w:ascii="Times New Roman" w:eastAsia="Times New Roman" w:hAnsi="Times New Roman" w:cs="Times New Roman"/>
                <w:snapToGrid w:val="0"/>
                <w:sz w:val="24"/>
                <w:szCs w:val="24"/>
              </w:rPr>
              <w:t xml:space="preserve"> са всички физически и юридически лица и техни обединения, които участват съвместно с кандидата в подготовката и/или техническото изпълнение на проекта или на предварително заявени във формуляра за кандидатстване дейности от проекта и разходват средства от безвъзмездната финансова помощ.</w:t>
            </w:r>
          </w:p>
        </w:tc>
      </w:tr>
      <w:tr w:rsidR="003C6307" w:rsidRPr="00CF323B" w14:paraId="61A1DD63" w14:textId="77777777" w:rsidTr="00E2753E">
        <w:tc>
          <w:tcPr>
            <w:tcW w:w="2645" w:type="dxa"/>
            <w:shd w:val="clear" w:color="auto" w:fill="E6E6E6"/>
          </w:tcPr>
          <w:p w14:paraId="1CC97C35" w14:textId="77777777" w:rsidR="003C6307" w:rsidRPr="00CF323B" w:rsidRDefault="003C6307"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Показател за краен продукт</w:t>
            </w:r>
          </w:p>
        </w:tc>
        <w:tc>
          <w:tcPr>
            <w:tcW w:w="6417" w:type="dxa"/>
            <w:shd w:val="clear" w:color="auto" w:fill="F3F3F3"/>
          </w:tcPr>
          <w:p w14:paraId="78AEB6A5"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Показател за измерване на конкретните резултати от интервенцията.</w:t>
            </w:r>
          </w:p>
        </w:tc>
      </w:tr>
      <w:tr w:rsidR="003C6307" w:rsidRPr="00CF323B" w14:paraId="66D6B468" w14:textId="77777777" w:rsidTr="00E2753E">
        <w:tc>
          <w:tcPr>
            <w:tcW w:w="2645" w:type="dxa"/>
            <w:shd w:val="clear" w:color="auto" w:fill="E6E6E6"/>
          </w:tcPr>
          <w:p w14:paraId="19B70C23" w14:textId="77777777" w:rsidR="003C6307" w:rsidRPr="00CF323B" w:rsidRDefault="003C6307"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Показател за резултат</w:t>
            </w:r>
          </w:p>
        </w:tc>
        <w:tc>
          <w:tcPr>
            <w:tcW w:w="6417" w:type="dxa"/>
            <w:shd w:val="clear" w:color="auto" w:fill="F3F3F3"/>
          </w:tcPr>
          <w:p w14:paraId="1E596725"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Показател за измерване на последиците от получилите подкрепа интервенции от гледна точка по-специално на преките адресати, целевата група от населението или ползвателите на инфраструктурата</w:t>
            </w:r>
          </w:p>
        </w:tc>
      </w:tr>
      <w:tr w:rsidR="003C6307" w:rsidRPr="00CF323B" w14:paraId="6B8B0193" w14:textId="77777777" w:rsidTr="00E2753E">
        <w:tc>
          <w:tcPr>
            <w:tcW w:w="2645" w:type="dxa"/>
            <w:shd w:val="clear" w:color="auto" w:fill="E6E6E6"/>
          </w:tcPr>
          <w:p w14:paraId="55D3DBF0" w14:textId="77777777" w:rsidR="003C6307" w:rsidRPr="00CF323B" w:rsidRDefault="003C6307"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Предприятие</w:t>
            </w:r>
          </w:p>
        </w:tc>
        <w:tc>
          <w:tcPr>
            <w:tcW w:w="6417" w:type="dxa"/>
            <w:shd w:val="clear" w:color="auto" w:fill="F3F3F3"/>
          </w:tcPr>
          <w:p w14:paraId="3BA95E14"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3C6307" w:rsidRPr="00CF323B" w14:paraId="125FB034" w14:textId="77777777" w:rsidTr="00E2753E">
        <w:tc>
          <w:tcPr>
            <w:tcW w:w="2645" w:type="dxa"/>
            <w:shd w:val="clear" w:color="auto" w:fill="E6E6E6"/>
          </w:tcPr>
          <w:p w14:paraId="4EC85C36" w14:textId="77777777" w:rsidR="003C6307" w:rsidRPr="00CF323B" w:rsidRDefault="003C6307"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Предприятие в затруднено положение</w:t>
            </w:r>
          </w:p>
        </w:tc>
        <w:tc>
          <w:tcPr>
            <w:tcW w:w="6417" w:type="dxa"/>
            <w:shd w:val="clear" w:color="auto" w:fill="F3F3F3"/>
          </w:tcPr>
          <w:p w14:paraId="77866E89" w14:textId="27962EE8"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Съгласно чл. 2, пар</w:t>
            </w:r>
            <w:r w:rsidR="00CF323B">
              <w:rPr>
                <w:rFonts w:ascii="Times New Roman" w:eastAsia="Times New Roman" w:hAnsi="Times New Roman" w:cs="Times New Roman"/>
                <w:snapToGrid w:val="0"/>
                <w:sz w:val="24"/>
                <w:szCs w:val="24"/>
              </w:rPr>
              <w:t>а</w:t>
            </w:r>
            <w:r w:rsidRPr="00CF323B">
              <w:rPr>
                <w:rFonts w:ascii="Times New Roman" w:eastAsia="Times New Roman" w:hAnsi="Times New Roman" w:cs="Times New Roman"/>
                <w:snapToGrid w:val="0"/>
                <w:sz w:val="24"/>
                <w:szCs w:val="24"/>
              </w:rPr>
              <w:t>. 18 от Регламент (ЕО) № 651/2014</w:t>
            </w:r>
            <w:r w:rsidRPr="00CF323B">
              <w:rPr>
                <w:rFonts w:ascii="Times New Roman" w:hAnsi="Times New Roman" w:cs="Times New Roman"/>
                <w:sz w:val="24"/>
                <w:szCs w:val="24"/>
              </w:rPr>
              <w:t xml:space="preserve"> </w:t>
            </w:r>
            <w:r w:rsidRPr="00CF323B">
              <w:rPr>
                <w:rFonts w:ascii="Times New Roman" w:eastAsia="Times New Roman" w:hAnsi="Times New Roman" w:cs="Times New Roman"/>
                <w:snapToGrid w:val="0"/>
                <w:sz w:val="24"/>
                <w:szCs w:val="24"/>
              </w:rPr>
              <w:t>предприятие в затруднено положение е предприятие, по отношение на което е изпълнено поне едно от следните обстоятелства:</w:t>
            </w:r>
          </w:p>
          <w:p w14:paraId="7B4B85B0" w14:textId="6BB556B1"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а)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(различно от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надвишава половината от записания акционерен капитал. За целите на настоящата разпоредба под понятието „дружество с ограничена отговорност</w:t>
            </w:r>
            <w:r w:rsidR="00F353A1" w:rsidRPr="00CF323B">
              <w:rPr>
                <w:rFonts w:ascii="Times New Roman" w:eastAsia="Times New Roman" w:hAnsi="Times New Roman" w:cs="Times New Roman"/>
                <w:snapToGrid w:val="0"/>
                <w:sz w:val="24"/>
                <w:szCs w:val="24"/>
              </w:rPr>
              <w:t>“</w:t>
            </w:r>
            <w:r w:rsidRPr="00CF323B">
              <w:rPr>
                <w:rFonts w:ascii="Times New Roman" w:eastAsia="Times New Roman" w:hAnsi="Times New Roman" w:cs="Times New Roman"/>
                <w:snapToGrid w:val="0"/>
                <w:sz w:val="24"/>
                <w:szCs w:val="24"/>
              </w:rPr>
              <w:t xml:space="preserve"> се разбира по-специално видовете дружества, посочени в приложение I към Директива 2013/34/ЕС на </w:t>
            </w:r>
            <w:r w:rsidRPr="00CF323B">
              <w:rPr>
                <w:rFonts w:ascii="Times New Roman" w:eastAsia="Times New Roman" w:hAnsi="Times New Roman" w:cs="Times New Roman"/>
                <w:snapToGrid w:val="0"/>
                <w:sz w:val="24"/>
                <w:szCs w:val="24"/>
              </w:rPr>
              <w:lastRenderedPageBreak/>
              <w:t>Европейския парламент и на Съвета, а „акционерен капитал</w:t>
            </w:r>
            <w:r w:rsidR="00F353A1" w:rsidRPr="00CF323B">
              <w:rPr>
                <w:rFonts w:ascii="Times New Roman" w:eastAsia="Times New Roman" w:hAnsi="Times New Roman" w:cs="Times New Roman"/>
                <w:snapToGrid w:val="0"/>
                <w:sz w:val="24"/>
                <w:szCs w:val="24"/>
              </w:rPr>
              <w:t>“</w:t>
            </w:r>
            <w:r w:rsidRPr="00CF323B">
              <w:rPr>
                <w:rFonts w:ascii="Times New Roman" w:eastAsia="Times New Roman" w:hAnsi="Times New Roman" w:cs="Times New Roman"/>
                <w:snapToGrid w:val="0"/>
                <w:sz w:val="24"/>
                <w:szCs w:val="24"/>
              </w:rPr>
              <w:t xml:space="preserve"> включва, ако е уместно, всякакви премии от емисии;</w:t>
            </w:r>
          </w:p>
          <w:p w14:paraId="1B549DF6" w14:textId="26CBBC1D"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б) в случай на събирателно дружество, командитно дружество или едноличен търговец или други лица по Приложение II към Директива 2013/34/ЕС (което не е МСП, което съществува от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дружеството</w:t>
            </w:r>
            <w:r w:rsidR="00F353A1" w:rsidRPr="00CF323B">
              <w:rPr>
                <w:rFonts w:ascii="Times New Roman" w:eastAsia="Times New Roman" w:hAnsi="Times New Roman" w:cs="Times New Roman"/>
                <w:snapToGrid w:val="0"/>
                <w:sz w:val="24"/>
                <w:szCs w:val="24"/>
              </w:rPr>
              <w:t>“</w:t>
            </w:r>
            <w:r w:rsidRPr="00CF323B">
              <w:rPr>
                <w:rFonts w:ascii="Times New Roman" w:eastAsia="Times New Roman" w:hAnsi="Times New Roman" w:cs="Times New Roman"/>
                <w:snapToGrid w:val="0"/>
                <w:sz w:val="24"/>
                <w:szCs w:val="24"/>
              </w:rPr>
              <w:t>, се разбира по-специално типовете дружества, посочени в приложение II към Директива 2013/34/ЕС;</w:t>
            </w:r>
          </w:p>
          <w:p w14:paraId="183CA4EF"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69903200"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5BDB0749" w14:textId="01C63AC7" w:rsidR="003C6307" w:rsidRPr="00CF323B" w:rsidRDefault="00F353A1"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Д</w:t>
            </w:r>
            <w:r w:rsidR="003C6307" w:rsidRPr="00CF323B">
              <w:rPr>
                <w:rFonts w:ascii="Times New Roman" w:eastAsia="Times New Roman" w:hAnsi="Times New Roman" w:cs="Times New Roman"/>
                <w:snapToGrid w:val="0"/>
                <w:sz w:val="24"/>
                <w:szCs w:val="24"/>
              </w:rPr>
              <w:t>) Когато предприятието не е МСП и през последните две години:</w:t>
            </w:r>
          </w:p>
          <w:p w14:paraId="7CB35AD3" w14:textId="788C3E4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-съотношението задължения/собствен капитал на предприятието е било по-голямо от 7,5; и</w:t>
            </w:r>
          </w:p>
          <w:p w14:paraId="07B052A8"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 съотношението за лихвено покритие на предприятието, изчислено на основата на EBITDA, е било под 1,0.</w:t>
            </w:r>
          </w:p>
        </w:tc>
      </w:tr>
      <w:tr w:rsidR="003C6307" w:rsidRPr="00CF323B" w14:paraId="0B0EEFA1" w14:textId="77777777" w:rsidTr="00E2753E">
        <w:tc>
          <w:tcPr>
            <w:tcW w:w="2645" w:type="dxa"/>
            <w:shd w:val="clear" w:color="auto" w:fill="E6E6E6"/>
          </w:tcPr>
          <w:p w14:paraId="7BF78511" w14:textId="77777777" w:rsidR="003C6307" w:rsidRPr="00CF323B" w:rsidRDefault="003C6307"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lastRenderedPageBreak/>
              <w:t>Преработка на селскостопански продукти</w:t>
            </w:r>
          </w:p>
        </w:tc>
        <w:tc>
          <w:tcPr>
            <w:tcW w:w="6417" w:type="dxa"/>
            <w:shd w:val="clear" w:color="auto" w:fill="F3F3F3"/>
          </w:tcPr>
          <w:p w14:paraId="61B8D6A2" w14:textId="56FCB9B8"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Съгласно чл. 2, пар</w:t>
            </w:r>
            <w:r w:rsidR="00CF323B">
              <w:rPr>
                <w:rFonts w:ascii="Times New Roman" w:eastAsia="Times New Roman" w:hAnsi="Times New Roman" w:cs="Times New Roman"/>
                <w:snapToGrid w:val="0"/>
                <w:sz w:val="24"/>
                <w:szCs w:val="24"/>
              </w:rPr>
              <w:t>а</w:t>
            </w:r>
            <w:r w:rsidRPr="00CF323B">
              <w:rPr>
                <w:rFonts w:ascii="Times New Roman" w:eastAsia="Times New Roman" w:hAnsi="Times New Roman" w:cs="Times New Roman"/>
                <w:snapToGrid w:val="0"/>
                <w:sz w:val="24"/>
                <w:szCs w:val="24"/>
              </w:rPr>
              <w:t>. 10 от Регламент (ЕО) № 651/2014</w:t>
            </w:r>
            <w:r w:rsidRPr="00CF323B">
              <w:rPr>
                <w:rFonts w:ascii="Times New Roman" w:hAnsi="Times New Roman" w:cs="Times New Roman"/>
                <w:sz w:val="24"/>
                <w:szCs w:val="24"/>
              </w:rPr>
              <w:t xml:space="preserve"> </w:t>
            </w:r>
            <w:r w:rsidRPr="00CF323B">
              <w:rPr>
                <w:rFonts w:ascii="Times New Roman" w:eastAsia="Times New Roman" w:hAnsi="Times New Roman" w:cs="Times New Roman"/>
                <w:snapToGrid w:val="0"/>
                <w:sz w:val="24"/>
                <w:szCs w:val="24"/>
              </w:rPr>
              <w:t>това е</w:t>
            </w:r>
            <w:r w:rsidRPr="00CF323B">
              <w:rPr>
                <w:rFonts w:ascii="Times New Roman" w:hAnsi="Times New Roman" w:cs="Times New Roman"/>
                <w:sz w:val="24"/>
                <w:szCs w:val="24"/>
              </w:rPr>
              <w:t xml:space="preserve"> </w:t>
            </w:r>
            <w:r w:rsidRPr="00CF323B">
              <w:rPr>
                <w:rFonts w:ascii="Times New Roman" w:eastAsia="Times New Roman" w:hAnsi="Times New Roman" w:cs="Times New Roman"/>
                <w:snapToGrid w:val="0"/>
                <w:sz w:val="24"/>
                <w:szCs w:val="24"/>
              </w:rPr>
              <w:t>всяка една операция върху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които са необходими за подготовката на животински или растителен продукт за първата му продажба.</w:t>
            </w:r>
          </w:p>
        </w:tc>
      </w:tr>
      <w:tr w:rsidR="003C6307" w:rsidRPr="00CF323B" w14:paraId="6CB3AAE1" w14:textId="77777777" w:rsidTr="00E2753E">
        <w:tc>
          <w:tcPr>
            <w:tcW w:w="2645" w:type="dxa"/>
            <w:shd w:val="clear" w:color="auto" w:fill="E6E6E6"/>
          </w:tcPr>
          <w:p w14:paraId="570BA0BE" w14:textId="77777777" w:rsidR="003C6307" w:rsidRPr="00CF323B" w:rsidRDefault="003C6307"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Проект</w:t>
            </w:r>
          </w:p>
        </w:tc>
        <w:tc>
          <w:tcPr>
            <w:tcW w:w="6417" w:type="dxa"/>
            <w:shd w:val="clear" w:color="auto" w:fill="F3F3F3"/>
          </w:tcPr>
          <w:p w14:paraId="74228E22"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Съвкупност от взаимосвързани и взаимодопълващи се дейности с предварително определена/и цел/и, необходими ресурси и времева рамка за изпълнение, водещи до постигането на конкретни количествено-измерими резултати.</w:t>
            </w:r>
          </w:p>
        </w:tc>
      </w:tr>
      <w:tr w:rsidR="003C6307" w:rsidRPr="00CF323B" w14:paraId="180CEE18" w14:textId="77777777" w:rsidTr="00E2753E">
        <w:tc>
          <w:tcPr>
            <w:tcW w:w="2645" w:type="dxa"/>
            <w:shd w:val="clear" w:color="auto" w:fill="E6E6E6"/>
          </w:tcPr>
          <w:p w14:paraId="43AF75BF" w14:textId="77777777" w:rsidR="003C6307" w:rsidRPr="00CF323B" w:rsidRDefault="003C6307"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lastRenderedPageBreak/>
              <w:t xml:space="preserve">Проектно предложение </w:t>
            </w:r>
          </w:p>
        </w:tc>
        <w:tc>
          <w:tcPr>
            <w:tcW w:w="6417" w:type="dxa"/>
            <w:shd w:val="clear" w:color="auto" w:fill="F3F3F3"/>
          </w:tcPr>
          <w:p w14:paraId="3D44EB8A"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3C6307" w:rsidRPr="00CF323B" w14:paraId="276D09BA" w14:textId="77777777" w:rsidTr="00E2753E">
        <w:tc>
          <w:tcPr>
            <w:tcW w:w="2645" w:type="dxa"/>
            <w:shd w:val="clear" w:color="auto" w:fill="E6E6E6"/>
          </w:tcPr>
          <w:p w14:paraId="4316C3D8" w14:textId="77777777" w:rsidR="003C6307" w:rsidRPr="00CF323B" w:rsidRDefault="003C6307"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Първично селскостопанско производство</w:t>
            </w:r>
          </w:p>
        </w:tc>
        <w:tc>
          <w:tcPr>
            <w:tcW w:w="6417" w:type="dxa"/>
            <w:shd w:val="clear" w:color="auto" w:fill="F3F3F3"/>
          </w:tcPr>
          <w:p w14:paraId="5B6406FD" w14:textId="22D6AA17" w:rsidR="003C6307" w:rsidRPr="00CF323B" w:rsidRDefault="003C6307" w:rsidP="00E2753E">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Съгласно чл. 2, пар</w:t>
            </w:r>
            <w:r w:rsidR="00CF323B">
              <w:rPr>
                <w:rFonts w:ascii="Times New Roman" w:eastAsia="Times New Roman" w:hAnsi="Times New Roman" w:cs="Times New Roman"/>
                <w:snapToGrid w:val="0"/>
                <w:sz w:val="24"/>
                <w:szCs w:val="24"/>
              </w:rPr>
              <w:t>а</w:t>
            </w:r>
            <w:r w:rsidRPr="00CF323B">
              <w:rPr>
                <w:rFonts w:ascii="Times New Roman" w:eastAsia="Times New Roman" w:hAnsi="Times New Roman" w:cs="Times New Roman"/>
                <w:snapToGrid w:val="0"/>
                <w:sz w:val="24"/>
                <w:szCs w:val="24"/>
              </w:rPr>
              <w:t>. 9 от Регламент (ЕО) № 651/2014</w:t>
            </w:r>
            <w:r w:rsidR="00CE3DEC" w:rsidRPr="00CF323B">
              <w:rPr>
                <w:rFonts w:ascii="Times New Roman" w:hAnsi="Times New Roman" w:cs="Times New Roman"/>
              </w:rPr>
              <w:t xml:space="preserve"> </w:t>
            </w:r>
            <w:r w:rsidR="00CE3DEC" w:rsidRPr="00CF323B">
              <w:rPr>
                <w:rFonts w:ascii="Times New Roman" w:eastAsia="Times New Roman" w:hAnsi="Times New Roman" w:cs="Times New Roman"/>
                <w:snapToGrid w:val="0"/>
                <w:sz w:val="24"/>
                <w:szCs w:val="24"/>
              </w:rPr>
              <w:t>и чл. 2, пар</w:t>
            </w:r>
            <w:r w:rsidR="00CF323B">
              <w:rPr>
                <w:rFonts w:ascii="Times New Roman" w:eastAsia="Times New Roman" w:hAnsi="Times New Roman" w:cs="Times New Roman"/>
                <w:snapToGrid w:val="0"/>
                <w:sz w:val="24"/>
                <w:szCs w:val="24"/>
              </w:rPr>
              <w:t>а</w:t>
            </w:r>
            <w:r w:rsidR="00CE3DEC" w:rsidRPr="00CF323B">
              <w:rPr>
                <w:rFonts w:ascii="Times New Roman" w:eastAsia="Times New Roman" w:hAnsi="Times New Roman" w:cs="Times New Roman"/>
                <w:snapToGrid w:val="0"/>
                <w:sz w:val="24"/>
                <w:szCs w:val="24"/>
              </w:rPr>
              <w:t>. 1, буква б) от Регламент 2023/2831</w:t>
            </w:r>
            <w:r w:rsidRPr="00CF323B">
              <w:rPr>
                <w:rFonts w:ascii="Times New Roman" w:eastAsia="Times New Roman" w:hAnsi="Times New Roman" w:cs="Times New Roman"/>
                <w:snapToGrid w:val="0"/>
                <w:sz w:val="24"/>
                <w:szCs w:val="24"/>
              </w:rPr>
              <w:t xml:space="preserve"> това е </w:t>
            </w:r>
            <w:r w:rsidRPr="00CF323B">
              <w:rPr>
                <w:rFonts w:ascii="Times New Roman" w:eastAsia="Times New Roman" w:hAnsi="Times New Roman" w:cs="Times New Roman"/>
                <w:snapToGrid w:val="0"/>
                <w:sz w:val="24"/>
                <w:szCs w:val="24"/>
                <w:lang w:val="bg"/>
              </w:rPr>
              <w:t xml:space="preserve">производство на продукти на почвата и на животновъдството, изброени в Приложение </w:t>
            </w:r>
            <w:r w:rsidRPr="00CF323B">
              <w:rPr>
                <w:rFonts w:ascii="Times New Roman" w:eastAsia="Times New Roman" w:hAnsi="Times New Roman" w:cs="Times New Roman"/>
                <w:snapToGrid w:val="0"/>
                <w:sz w:val="24"/>
                <w:szCs w:val="24"/>
                <w:lang w:val="en-US"/>
              </w:rPr>
              <w:t xml:space="preserve">I </w:t>
            </w:r>
            <w:r w:rsidRPr="00CF323B">
              <w:rPr>
                <w:rFonts w:ascii="Times New Roman" w:eastAsia="Times New Roman" w:hAnsi="Times New Roman" w:cs="Times New Roman"/>
                <w:snapToGrid w:val="0"/>
                <w:sz w:val="24"/>
                <w:szCs w:val="24"/>
                <w:lang w:val="bg"/>
              </w:rPr>
              <w:t>към Договора</w:t>
            </w:r>
            <w:r w:rsidRPr="00CF323B">
              <w:rPr>
                <w:rFonts w:ascii="Times New Roman" w:hAnsi="Times New Roman" w:cs="Times New Roman"/>
                <w:sz w:val="24"/>
                <w:szCs w:val="24"/>
              </w:rPr>
              <w:t xml:space="preserve"> </w:t>
            </w:r>
            <w:r w:rsidR="00CE3DEC" w:rsidRPr="00CF323B">
              <w:rPr>
                <w:rFonts w:ascii="Times New Roman" w:eastAsia="Times New Roman" w:hAnsi="Times New Roman" w:cs="Times New Roman"/>
                <w:snapToGrid w:val="0"/>
                <w:sz w:val="24"/>
                <w:szCs w:val="24"/>
              </w:rPr>
              <w:t>за функционирането на Европейския съюз (Приложение 11 към Условията за кандидатстване)</w:t>
            </w:r>
            <w:r w:rsidRPr="00CF323B">
              <w:rPr>
                <w:rFonts w:ascii="Times New Roman" w:eastAsia="Times New Roman" w:hAnsi="Times New Roman" w:cs="Times New Roman"/>
                <w:snapToGrid w:val="0"/>
                <w:sz w:val="24"/>
                <w:szCs w:val="24"/>
                <w:lang w:val="bg"/>
              </w:rPr>
              <w:t>, без да се извършват никакви по-нататъшни операции, с които се променя естеството на тези продукти.</w:t>
            </w:r>
          </w:p>
        </w:tc>
      </w:tr>
      <w:tr w:rsidR="003C6307" w:rsidRPr="00CF323B" w14:paraId="18D0353D" w14:textId="77777777" w:rsidTr="00E2753E">
        <w:tc>
          <w:tcPr>
            <w:tcW w:w="2645" w:type="dxa"/>
            <w:shd w:val="clear" w:color="auto" w:fill="E6E6E6"/>
          </w:tcPr>
          <w:p w14:paraId="1D1AFB0A" w14:textId="77777777" w:rsidR="003C6307" w:rsidRPr="00CF323B" w:rsidRDefault="003C6307"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Ръководител на Управляващия орган</w:t>
            </w:r>
          </w:p>
        </w:tc>
        <w:tc>
          <w:tcPr>
            <w:tcW w:w="6417" w:type="dxa"/>
            <w:shd w:val="clear" w:color="auto" w:fill="F3F3F3"/>
          </w:tcPr>
          <w:p w14:paraId="2F1D79A3"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Ръководителят на администрацията, в рамките на чиято структура се намира Управляващия орган или упълномощеното от него длъжностно лице.</w:t>
            </w:r>
          </w:p>
        </w:tc>
      </w:tr>
      <w:tr w:rsidR="003C6307" w:rsidRPr="00CF323B" w14:paraId="475E82E6" w14:textId="77777777" w:rsidTr="00E2753E">
        <w:tc>
          <w:tcPr>
            <w:tcW w:w="2645" w:type="dxa"/>
            <w:shd w:val="clear" w:color="auto" w:fill="E6E6E6"/>
          </w:tcPr>
          <w:p w14:paraId="06972288" w14:textId="77777777" w:rsidR="003C6307" w:rsidRPr="00CF323B" w:rsidRDefault="003C6307"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Свързани лица</w:t>
            </w:r>
          </w:p>
        </w:tc>
        <w:tc>
          <w:tcPr>
            <w:tcW w:w="6417" w:type="dxa"/>
            <w:shd w:val="clear" w:color="auto" w:fill="F3F3F3"/>
          </w:tcPr>
          <w:p w14:paraId="6F1465D0"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lang w:val="en-US"/>
              </w:rPr>
              <w:t xml:space="preserve">(1) </w:t>
            </w:r>
            <w:r w:rsidRPr="00CF323B">
              <w:rPr>
                <w:rFonts w:ascii="Times New Roman" w:eastAsia="Times New Roman" w:hAnsi="Times New Roman" w:cs="Times New Roman"/>
                <w:snapToGrid w:val="0"/>
                <w:sz w:val="24"/>
                <w:szCs w:val="24"/>
              </w:rPr>
              <w:t>„Свързани лица” са:</w:t>
            </w:r>
          </w:p>
          <w:p w14:paraId="7C92D56B"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14:paraId="281269A0"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2. работодател и работник;</w:t>
            </w:r>
          </w:p>
          <w:p w14:paraId="656AED6C"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3. лицата, едното от които участва в управлението на дружеството на другото;</w:t>
            </w:r>
          </w:p>
          <w:p w14:paraId="52234151"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4. съдружниците;</w:t>
            </w:r>
          </w:p>
          <w:p w14:paraId="2D8DAEA6"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5. дружество и лице, което притежава повече от 5 на сто от дяловете и акциите, издадени с право на глас в дружеството;</w:t>
            </w:r>
          </w:p>
          <w:p w14:paraId="2F71D133"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6. лицата, чиято дейност се контролира пряко или косвено от трето лице;</w:t>
            </w:r>
          </w:p>
          <w:p w14:paraId="3C736286"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7. лицата, които съвместно контролират пряко или косвено трето лице;</w:t>
            </w:r>
          </w:p>
          <w:p w14:paraId="31979615"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8. лицата, едното от които е търговски</w:t>
            </w:r>
            <w:r w:rsidRPr="00CF323B">
              <w:rPr>
                <w:rFonts w:ascii="Times New Roman" w:eastAsia="Times New Roman" w:hAnsi="Times New Roman" w:cs="Times New Roman"/>
                <w:snapToGrid w:val="0"/>
                <w:sz w:val="24"/>
                <w:szCs w:val="24"/>
                <w:lang w:val="en-US"/>
              </w:rPr>
              <w:t xml:space="preserve"> </w:t>
            </w:r>
            <w:r w:rsidRPr="00CF323B">
              <w:rPr>
                <w:rFonts w:ascii="Times New Roman" w:eastAsia="Times New Roman" w:hAnsi="Times New Roman" w:cs="Times New Roman"/>
                <w:snapToGrid w:val="0"/>
                <w:sz w:val="24"/>
                <w:szCs w:val="24"/>
              </w:rPr>
              <w:t>представител на другото;</w:t>
            </w:r>
          </w:p>
          <w:p w14:paraId="1F657095"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9. лицата, едното от които е направило дарение в полза на другото.</w:t>
            </w:r>
          </w:p>
          <w:p w14:paraId="119CCC83"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(2) „Свързани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tc>
      </w:tr>
      <w:tr w:rsidR="003C6307" w:rsidRPr="00CF323B" w14:paraId="11504932" w14:textId="77777777" w:rsidTr="00E2753E">
        <w:tc>
          <w:tcPr>
            <w:tcW w:w="2645" w:type="dxa"/>
            <w:shd w:val="clear" w:color="auto" w:fill="E6E6E6"/>
          </w:tcPr>
          <w:p w14:paraId="0FD08C12" w14:textId="77777777" w:rsidR="003C6307" w:rsidRPr="00CF323B" w:rsidRDefault="003C6307"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lastRenderedPageBreak/>
              <w:t>Сделка между несвързани лица</w:t>
            </w:r>
          </w:p>
        </w:tc>
        <w:tc>
          <w:tcPr>
            <w:tcW w:w="6417" w:type="dxa"/>
            <w:shd w:val="clear" w:color="auto" w:fill="F3F3F3"/>
          </w:tcPr>
          <w:p w14:paraId="4E9A5233"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lang w:val="en-US"/>
              </w:rPr>
            </w:pPr>
            <w:r w:rsidRPr="00CF323B">
              <w:rPr>
                <w:rFonts w:ascii="Times New Roman" w:eastAsia="Times New Roman" w:hAnsi="Times New Roman" w:cs="Times New Roman"/>
                <w:snapToGrid w:val="0"/>
                <w:sz w:val="24"/>
                <w:szCs w:val="24"/>
              </w:rPr>
              <w:t>Сделка между несвързани лица означава, че условията на сделката между договарящите се страни не се различават от условията, които биха били договорени между независими предприятия, и не съдържат елемент на колизия. Всяка сделка, която е резултат от открита, прозрачна и недискриминационна процедура, се разглежда като съответстваща на принципа на сделката между несвързани лица</w:t>
            </w:r>
            <w:r w:rsidRPr="00CF323B">
              <w:rPr>
                <w:rFonts w:ascii="Times New Roman" w:eastAsia="Times New Roman" w:hAnsi="Times New Roman" w:cs="Times New Roman"/>
                <w:snapToGrid w:val="0"/>
                <w:sz w:val="24"/>
                <w:szCs w:val="24"/>
                <w:lang w:val="en-US"/>
              </w:rPr>
              <w:t>.</w:t>
            </w:r>
          </w:p>
        </w:tc>
      </w:tr>
      <w:tr w:rsidR="003C6307" w:rsidRPr="00CF323B" w14:paraId="170987AB" w14:textId="77777777" w:rsidTr="00E2753E">
        <w:tc>
          <w:tcPr>
            <w:tcW w:w="2645" w:type="dxa"/>
            <w:shd w:val="clear" w:color="auto" w:fill="E6E6E6"/>
          </w:tcPr>
          <w:p w14:paraId="5014AE66" w14:textId="77777777" w:rsidR="003C6307" w:rsidRPr="00CF323B" w:rsidRDefault="003C6307"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Селскостопански продукт</w:t>
            </w:r>
          </w:p>
        </w:tc>
        <w:tc>
          <w:tcPr>
            <w:tcW w:w="6417" w:type="dxa"/>
            <w:shd w:val="clear" w:color="auto" w:fill="F3F3F3"/>
          </w:tcPr>
          <w:p w14:paraId="4473517A"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Съгласно чл. 2, пар. 11 от Регламент (ЕС) № 651/2014 „селскостопански продукт“ означава продукти, изброени в приложение I към Договора, с изключение на продукти на рибарството и аквакултурите, изброени в приложение I към Регламент (ЕС) № 1379/2013 на Европейския парламент и на Съвета от 11 декември 2013 г.</w:t>
            </w:r>
          </w:p>
        </w:tc>
      </w:tr>
      <w:tr w:rsidR="003C6307" w:rsidRPr="00CF323B" w14:paraId="4B4B3CB6" w14:textId="77777777" w:rsidTr="00E2753E">
        <w:tc>
          <w:tcPr>
            <w:tcW w:w="2645" w:type="dxa"/>
            <w:shd w:val="clear" w:color="auto" w:fill="E6E6E6"/>
          </w:tcPr>
          <w:p w14:paraId="63A6767F" w14:textId="77777777" w:rsidR="003C6307" w:rsidRPr="00CF323B" w:rsidRDefault="003C6307"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Транспортни средства</w:t>
            </w:r>
          </w:p>
        </w:tc>
        <w:tc>
          <w:tcPr>
            <w:tcW w:w="6417" w:type="dxa"/>
            <w:shd w:val="clear" w:color="auto" w:fill="F3F3F3"/>
          </w:tcPr>
          <w:p w14:paraId="041CDC01" w14:textId="77777777" w:rsidR="003C6307" w:rsidRPr="00CF323B" w:rsidRDefault="003C6307" w:rsidP="00096F60">
            <w:pPr>
              <w:pStyle w:val="FootnoteText"/>
              <w:spacing w:before="120" w:after="120"/>
              <w:jc w:val="both"/>
              <w:rPr>
                <w:rFonts w:ascii="Times New Roman" w:hAnsi="Times New Roman" w:cs="Times New Roman"/>
                <w:sz w:val="24"/>
                <w:szCs w:val="24"/>
              </w:rPr>
            </w:pPr>
            <w:r w:rsidRPr="00CF323B">
              <w:rPr>
                <w:rFonts w:ascii="Times New Roman" w:hAnsi="Times New Roman" w:cs="Times New Roman"/>
                <w:sz w:val="24"/>
                <w:szCs w:val="24"/>
              </w:rPr>
              <w:t>Включва следните дефиниции:</w:t>
            </w:r>
          </w:p>
          <w:p w14:paraId="6230BB1F" w14:textId="77777777" w:rsidR="003C6307" w:rsidRPr="00CF323B" w:rsidRDefault="003C6307" w:rsidP="00096F60">
            <w:pPr>
              <w:pStyle w:val="FootnoteText"/>
              <w:spacing w:before="120" w:after="120"/>
              <w:jc w:val="both"/>
              <w:rPr>
                <w:rFonts w:ascii="Times New Roman" w:hAnsi="Times New Roman" w:cs="Times New Roman"/>
                <w:sz w:val="24"/>
                <w:szCs w:val="24"/>
              </w:rPr>
            </w:pPr>
            <w:r w:rsidRPr="00CF323B">
              <w:rPr>
                <w:rFonts w:ascii="Times New Roman" w:hAnsi="Times New Roman" w:cs="Times New Roman"/>
                <w:sz w:val="24"/>
                <w:szCs w:val="24"/>
              </w:rPr>
              <w:t xml:space="preserve"> - </w:t>
            </w:r>
            <w:r w:rsidRPr="00CF323B">
              <w:rPr>
                <w:rFonts w:ascii="Times New Roman" w:hAnsi="Times New Roman" w:cs="Times New Roman"/>
                <w:i/>
                <w:sz w:val="24"/>
                <w:szCs w:val="24"/>
              </w:rPr>
              <w:t>Съгласно Закона за движението по пътищата:</w:t>
            </w:r>
          </w:p>
          <w:p w14:paraId="02878D46" w14:textId="77777777" w:rsidR="003C6307" w:rsidRPr="00CF323B" w:rsidRDefault="003C6307" w:rsidP="00096F60">
            <w:pPr>
              <w:pStyle w:val="FootnoteText"/>
              <w:spacing w:before="120" w:after="120"/>
              <w:jc w:val="both"/>
              <w:rPr>
                <w:rFonts w:ascii="Times New Roman" w:hAnsi="Times New Roman" w:cs="Times New Roman"/>
                <w:sz w:val="24"/>
                <w:szCs w:val="24"/>
              </w:rPr>
            </w:pPr>
            <w:r w:rsidRPr="00CF323B">
              <w:rPr>
                <w:rFonts w:ascii="Times New Roman" w:hAnsi="Times New Roman" w:cs="Times New Roman"/>
                <w:sz w:val="24"/>
                <w:szCs w:val="24"/>
              </w:rPr>
              <w:t>1. "Пътно превозно средство" е съоръжение, придвижвано по пътя на колела и използвано за превозване на хора и/или товари. Към пътните превозни средства се приравняват трамваите и самоходните машини, когато се придвижват по пътищата.</w:t>
            </w:r>
          </w:p>
          <w:p w14:paraId="25437752" w14:textId="77777777" w:rsidR="003C6307" w:rsidRPr="00CF323B" w:rsidRDefault="003C6307" w:rsidP="00096F60">
            <w:pPr>
              <w:pStyle w:val="FootnoteText"/>
              <w:spacing w:before="120" w:after="120"/>
              <w:jc w:val="both"/>
              <w:rPr>
                <w:rFonts w:ascii="Times New Roman" w:hAnsi="Times New Roman" w:cs="Times New Roman"/>
                <w:sz w:val="24"/>
                <w:szCs w:val="24"/>
              </w:rPr>
            </w:pPr>
            <w:r w:rsidRPr="00CF323B">
              <w:rPr>
                <w:rFonts w:ascii="Times New Roman" w:hAnsi="Times New Roman" w:cs="Times New Roman"/>
                <w:sz w:val="24"/>
                <w:szCs w:val="24"/>
              </w:rPr>
              <w:t>2. "Моторно превозно средство" е пътно превозно средство, снабдено с двигател за придвижване, с изключение на релсовите превозни средства.</w:t>
            </w:r>
          </w:p>
          <w:p w14:paraId="284543CF" w14:textId="77777777" w:rsidR="003C6307" w:rsidRPr="00CF323B" w:rsidRDefault="003C6307" w:rsidP="00096F60">
            <w:pPr>
              <w:pStyle w:val="FootnoteText"/>
              <w:spacing w:before="120" w:after="120"/>
              <w:jc w:val="both"/>
              <w:rPr>
                <w:rFonts w:ascii="Times New Roman" w:hAnsi="Times New Roman" w:cs="Times New Roman"/>
                <w:i/>
                <w:sz w:val="24"/>
                <w:szCs w:val="24"/>
              </w:rPr>
            </w:pPr>
            <w:r w:rsidRPr="00CF323B">
              <w:rPr>
                <w:rFonts w:ascii="Times New Roman" w:hAnsi="Times New Roman" w:cs="Times New Roman"/>
                <w:sz w:val="24"/>
                <w:szCs w:val="24"/>
              </w:rPr>
              <w:t xml:space="preserve">- </w:t>
            </w:r>
            <w:r w:rsidRPr="00CF323B">
              <w:rPr>
                <w:rFonts w:ascii="Times New Roman" w:hAnsi="Times New Roman" w:cs="Times New Roman"/>
                <w:i/>
                <w:sz w:val="24"/>
                <w:szCs w:val="24"/>
              </w:rPr>
              <w:t>Съгласно Закона за гражданското въздухоплаване:</w:t>
            </w:r>
          </w:p>
          <w:p w14:paraId="04471D77" w14:textId="77777777" w:rsidR="003C6307" w:rsidRPr="00CF323B" w:rsidRDefault="003C6307" w:rsidP="00096F60">
            <w:pPr>
              <w:pStyle w:val="FootnoteText"/>
              <w:spacing w:before="120" w:after="120"/>
              <w:jc w:val="both"/>
              <w:rPr>
                <w:rFonts w:ascii="Times New Roman" w:hAnsi="Times New Roman" w:cs="Times New Roman"/>
                <w:sz w:val="24"/>
                <w:szCs w:val="24"/>
              </w:rPr>
            </w:pPr>
            <w:r w:rsidRPr="00CF323B">
              <w:rPr>
                <w:rFonts w:ascii="Times New Roman" w:hAnsi="Times New Roman" w:cs="Times New Roman"/>
                <w:sz w:val="24"/>
                <w:szCs w:val="24"/>
              </w:rPr>
              <w:t>1. "Въздухоплавателно средство" е всяко средство,  което може да получи поддържане в атмосферата за сметка на реакцията на въздуха, освен реакцията на въздуха от земната повърхност.</w:t>
            </w:r>
          </w:p>
          <w:p w14:paraId="374219B9" w14:textId="77777777" w:rsidR="003C6307" w:rsidRPr="00CF323B" w:rsidRDefault="003C6307" w:rsidP="00096F60">
            <w:pPr>
              <w:pStyle w:val="FootnoteText"/>
              <w:spacing w:before="120" w:after="120"/>
              <w:jc w:val="both"/>
              <w:rPr>
                <w:rFonts w:ascii="Times New Roman" w:hAnsi="Times New Roman" w:cs="Times New Roman"/>
                <w:sz w:val="24"/>
                <w:szCs w:val="24"/>
              </w:rPr>
            </w:pPr>
            <w:r w:rsidRPr="00CF323B">
              <w:rPr>
                <w:rFonts w:ascii="Times New Roman" w:hAnsi="Times New Roman" w:cs="Times New Roman"/>
                <w:sz w:val="24"/>
                <w:szCs w:val="24"/>
              </w:rPr>
              <w:t xml:space="preserve"> - </w:t>
            </w:r>
            <w:r w:rsidRPr="00CF323B">
              <w:rPr>
                <w:rFonts w:ascii="Times New Roman" w:hAnsi="Times New Roman" w:cs="Times New Roman"/>
                <w:i/>
                <w:sz w:val="24"/>
                <w:szCs w:val="24"/>
              </w:rPr>
              <w:t>Съгласно Закона за железопътния транспорт:</w:t>
            </w:r>
          </w:p>
          <w:p w14:paraId="7DE1B096" w14:textId="77777777" w:rsidR="003C6307" w:rsidRPr="00CF323B" w:rsidRDefault="003C6307" w:rsidP="00096F60">
            <w:pPr>
              <w:pStyle w:val="FootnoteText"/>
              <w:spacing w:before="120" w:after="120"/>
              <w:jc w:val="both"/>
              <w:rPr>
                <w:rFonts w:ascii="Times New Roman" w:hAnsi="Times New Roman" w:cs="Times New Roman"/>
                <w:sz w:val="24"/>
                <w:szCs w:val="24"/>
              </w:rPr>
            </w:pPr>
            <w:r w:rsidRPr="00CF323B">
              <w:rPr>
                <w:rFonts w:ascii="Times New Roman" w:hAnsi="Times New Roman" w:cs="Times New Roman"/>
                <w:sz w:val="24"/>
                <w:szCs w:val="24"/>
              </w:rPr>
              <w:t>1. „Влак” е подреден и скачен състав от вагони с един или повече локомотиви в работно състояние, снабден със сигнали и влакови документи. Локомотиви, мотрисни влакове, мотриси, моторни дрезини и други моторни возила, несваляеми от пътя, отправени на междугарие, се смятат за влакове.</w:t>
            </w:r>
          </w:p>
          <w:p w14:paraId="56405749" w14:textId="77777777" w:rsidR="003C6307" w:rsidRPr="00CF323B" w:rsidRDefault="003C6307" w:rsidP="00096F60">
            <w:pPr>
              <w:pStyle w:val="FootnoteText"/>
              <w:spacing w:before="120" w:after="120"/>
              <w:jc w:val="both"/>
              <w:rPr>
                <w:rFonts w:ascii="Times New Roman" w:hAnsi="Times New Roman" w:cs="Times New Roman"/>
                <w:sz w:val="24"/>
                <w:szCs w:val="24"/>
              </w:rPr>
            </w:pPr>
            <w:r w:rsidRPr="00CF323B">
              <w:rPr>
                <w:rFonts w:ascii="Times New Roman" w:hAnsi="Times New Roman" w:cs="Times New Roman"/>
                <w:sz w:val="24"/>
                <w:szCs w:val="24"/>
              </w:rPr>
              <w:t xml:space="preserve"> - </w:t>
            </w:r>
            <w:r w:rsidRPr="00CF323B">
              <w:rPr>
                <w:rFonts w:ascii="Times New Roman" w:hAnsi="Times New Roman" w:cs="Times New Roman"/>
                <w:i/>
                <w:sz w:val="24"/>
                <w:szCs w:val="24"/>
              </w:rPr>
              <w:t>Съгласно Закона за морските пространства, вътрешните водни пътища и пристанищата на Република България:</w:t>
            </w:r>
          </w:p>
          <w:p w14:paraId="7D6181D4" w14:textId="7AAA8870" w:rsidR="003C6307" w:rsidRPr="00CF323B" w:rsidRDefault="003C6307" w:rsidP="00096F60">
            <w:pPr>
              <w:pStyle w:val="FootnoteText"/>
              <w:spacing w:before="120" w:after="120"/>
              <w:jc w:val="both"/>
              <w:rPr>
                <w:rFonts w:ascii="Times New Roman" w:hAnsi="Times New Roman" w:cs="Times New Roman"/>
                <w:sz w:val="24"/>
                <w:szCs w:val="24"/>
              </w:rPr>
            </w:pPr>
            <w:r w:rsidRPr="00CF323B">
              <w:rPr>
                <w:rFonts w:ascii="Times New Roman" w:hAnsi="Times New Roman" w:cs="Times New Roman"/>
                <w:sz w:val="24"/>
                <w:szCs w:val="24"/>
              </w:rPr>
              <w:lastRenderedPageBreak/>
              <w:t>1. „Яхта” е кораб, използван за туризъм, спорт, спортен риболов или развлечение.</w:t>
            </w:r>
          </w:p>
          <w:p w14:paraId="20BE9AF4" w14:textId="77777777" w:rsidR="003C6307" w:rsidRPr="00CF323B" w:rsidRDefault="003C6307" w:rsidP="00096F60">
            <w:pPr>
              <w:pStyle w:val="FootnoteText"/>
              <w:spacing w:before="120" w:after="120"/>
              <w:jc w:val="both"/>
              <w:rPr>
                <w:rFonts w:ascii="Times New Roman" w:hAnsi="Times New Roman" w:cs="Times New Roman"/>
                <w:sz w:val="24"/>
                <w:szCs w:val="24"/>
              </w:rPr>
            </w:pPr>
            <w:r w:rsidRPr="00CF323B">
              <w:rPr>
                <w:rFonts w:ascii="Times New Roman" w:hAnsi="Times New Roman" w:cs="Times New Roman"/>
                <w:sz w:val="24"/>
                <w:szCs w:val="24"/>
              </w:rPr>
              <w:t>2. „Кораб</w:t>
            </w:r>
            <w:r w:rsidRPr="00CF323B">
              <w:rPr>
                <w:rFonts w:ascii="Times New Roman" w:hAnsi="Times New Roman" w:cs="Times New Roman"/>
                <w:bCs/>
                <w:sz w:val="24"/>
                <w:szCs w:val="24"/>
              </w:rPr>
              <w:t>”</w:t>
            </w:r>
            <w:r w:rsidRPr="00CF323B">
              <w:rPr>
                <w:rFonts w:ascii="Times New Roman" w:hAnsi="Times New Roman" w:cs="Times New Roman"/>
                <w:sz w:val="24"/>
                <w:szCs w:val="24"/>
              </w:rPr>
              <w:t xml:space="preserve"> е всяко самоходно или несамоходно плавателно съоръжение от какъвто и да е тип, включително съдове на подводни криле, на въздушна възглавница, подводници, плаващи средства и неподвижни или плаващи платформи, предназначени за плаване по море и/или река, независимо от знамето, под което плава, и което се използва за извършване на една или няколко от следните дейности: превоз на товари, превоз на пътници и багажи; влачене на плавателни съоръжения; извършване на морски услуги и други помощни операции; риболов; експлоатация на други морски богатства, както и други дейности.</w:t>
            </w:r>
          </w:p>
        </w:tc>
      </w:tr>
      <w:tr w:rsidR="003C6307" w:rsidRPr="00CF323B" w14:paraId="35E24C08" w14:textId="77777777" w:rsidTr="00E2753E">
        <w:tc>
          <w:tcPr>
            <w:tcW w:w="2645" w:type="dxa"/>
            <w:shd w:val="clear" w:color="auto" w:fill="E6E6E6"/>
          </w:tcPr>
          <w:p w14:paraId="2064E331" w14:textId="77777777" w:rsidR="003C6307" w:rsidRPr="00CF323B" w:rsidRDefault="003C6307" w:rsidP="00096F60">
            <w:pPr>
              <w:spacing w:before="120" w:after="120" w:line="240" w:lineRule="auto"/>
              <w:rPr>
                <w:rFonts w:ascii="Times New Roman" w:hAnsi="Times New Roman" w:cs="Times New Roman"/>
                <w:sz w:val="24"/>
                <w:szCs w:val="24"/>
              </w:rPr>
            </w:pPr>
            <w:r w:rsidRPr="00CF323B">
              <w:rPr>
                <w:rFonts w:ascii="Times New Roman" w:eastAsia="Times New Roman" w:hAnsi="Times New Roman" w:cs="Times New Roman"/>
                <w:b/>
                <w:snapToGrid w:val="0"/>
                <w:sz w:val="24"/>
                <w:szCs w:val="24"/>
              </w:rPr>
              <w:lastRenderedPageBreak/>
              <w:t>Търговия със селскостопански продукт</w:t>
            </w:r>
          </w:p>
        </w:tc>
        <w:tc>
          <w:tcPr>
            <w:tcW w:w="6417" w:type="dxa"/>
            <w:shd w:val="clear" w:color="auto" w:fill="F3F3F3"/>
          </w:tcPr>
          <w:p w14:paraId="596C96CE" w14:textId="77777777" w:rsidR="003C6307" w:rsidRPr="00CF323B" w:rsidRDefault="003C6307"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Държане или излагане с цел продажба, предлагане за продажба, доставяне или пускане на пазара по друг начин, с изключение на първата продажба от първичния производител на прекупвачи или преработватели, както и всяка една дейност по подготвяне на продукта за тази първа продажба; продажбата от първичен производител на крайни потребители се счита за търговия, ако се осъществява в отделни помещения, предвидени за тази цел.</w:t>
            </w:r>
          </w:p>
        </w:tc>
      </w:tr>
      <w:tr w:rsidR="007472EC" w:rsidRPr="00CF323B" w14:paraId="17C6786B" w14:textId="77777777" w:rsidTr="00E2753E">
        <w:tc>
          <w:tcPr>
            <w:tcW w:w="2645" w:type="dxa"/>
            <w:shd w:val="clear" w:color="auto" w:fill="E6E6E6"/>
          </w:tcPr>
          <w:p w14:paraId="7DB75F92" w14:textId="13224582" w:rsidR="007472EC" w:rsidRPr="00CF323B" w:rsidRDefault="007472EC" w:rsidP="00096F60">
            <w:pPr>
              <w:spacing w:before="120" w:after="120" w:line="240" w:lineRule="auto"/>
              <w:rPr>
                <w:rFonts w:ascii="Times New Roman" w:eastAsia="Times New Roman" w:hAnsi="Times New Roman" w:cs="Times New Roman"/>
                <w:b/>
                <w:snapToGrid w:val="0"/>
                <w:sz w:val="24"/>
                <w:szCs w:val="24"/>
              </w:rPr>
            </w:pPr>
            <w:r w:rsidRPr="00CF323B">
              <w:rPr>
                <w:rFonts w:ascii="Times New Roman" w:eastAsia="Times New Roman" w:hAnsi="Times New Roman" w:cs="Times New Roman"/>
                <w:b/>
                <w:snapToGrid w:val="0"/>
                <w:sz w:val="24"/>
                <w:szCs w:val="24"/>
              </w:rPr>
              <w:t>Харта на основните права на Европейския съюз</w:t>
            </w:r>
          </w:p>
        </w:tc>
        <w:tc>
          <w:tcPr>
            <w:tcW w:w="6417" w:type="dxa"/>
            <w:shd w:val="clear" w:color="auto" w:fill="F3F3F3"/>
          </w:tcPr>
          <w:p w14:paraId="7EDA4CEF" w14:textId="5EA667E4" w:rsidR="007472EC" w:rsidRPr="00CF323B" w:rsidRDefault="007472EC" w:rsidP="00096F60">
            <w:pPr>
              <w:spacing w:before="120" w:after="120" w:line="240" w:lineRule="auto"/>
              <w:jc w:val="both"/>
              <w:rPr>
                <w:rFonts w:ascii="Times New Roman" w:eastAsia="Times New Roman" w:hAnsi="Times New Roman" w:cs="Times New Roman"/>
                <w:snapToGrid w:val="0"/>
                <w:sz w:val="24"/>
                <w:szCs w:val="24"/>
              </w:rPr>
            </w:pPr>
            <w:r w:rsidRPr="00CF323B">
              <w:rPr>
                <w:rFonts w:ascii="Times New Roman" w:eastAsia="Times New Roman" w:hAnsi="Times New Roman" w:cs="Times New Roman"/>
                <w:snapToGrid w:val="0"/>
                <w:sz w:val="24"/>
                <w:szCs w:val="24"/>
              </w:rPr>
              <w:t>Прилагането и изпълнението на Хартата на основните права на Европейския съюз (ЕС) цели осигуряване на зачитането и защитата на всички основни права на ЕС, сред които са: защита на личните данни, недискриминация, равенство между жените и мъжете, интеграция на хората с увреждания, равенство пред закона,  опазване на околната среда, право на ефективни правни средства за защита и на справедлив съдебен процес, справедливи условия на труд, правата на детето, свобода на изразяване на мнение и свобода на информация, свобода на събранията и сдруженията,  право на образование, свобода на стопанската инициатива, право на собственост, защита в случай на принудително отвеждане, експулсиране и екстрадиране, зачитане на личния и семейния живот, право на убежище.</w:t>
            </w:r>
          </w:p>
        </w:tc>
      </w:tr>
    </w:tbl>
    <w:p w14:paraId="67325119" w14:textId="77777777" w:rsidR="000C2624" w:rsidRPr="00CF323B" w:rsidRDefault="000C2624">
      <w:pPr>
        <w:rPr>
          <w:rFonts w:ascii="Times New Roman" w:hAnsi="Times New Roman" w:cs="Times New Roman"/>
          <w:lang w:val="en-US"/>
        </w:rPr>
      </w:pPr>
    </w:p>
    <w:sectPr w:rsidR="000C2624" w:rsidRPr="00CF323B" w:rsidSect="007F6ED0">
      <w:headerReference w:type="even" r:id="rId10"/>
      <w:headerReference w:type="default" r:id="rId11"/>
      <w:footerReference w:type="even" r:id="rId12"/>
      <w:footerReference w:type="default" r:id="rId13"/>
      <w:headerReference w:type="first" r:id="rId14"/>
      <w:footerReference w:type="first" r:id="rId15"/>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6E47F6" w14:textId="77777777" w:rsidR="00046766" w:rsidRDefault="00046766" w:rsidP="00364204">
      <w:pPr>
        <w:spacing w:after="0" w:line="240" w:lineRule="auto"/>
      </w:pPr>
      <w:r>
        <w:separator/>
      </w:r>
    </w:p>
  </w:endnote>
  <w:endnote w:type="continuationSeparator" w:id="0">
    <w:p w14:paraId="7CC4809A" w14:textId="77777777" w:rsidR="00046766" w:rsidRDefault="00046766"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8D7957" w14:textId="77777777" w:rsidR="005C65A5" w:rsidRDefault="005C65A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1328279081"/>
      <w:docPartObj>
        <w:docPartGallery w:val="Page Numbers (Bottom of Page)"/>
        <w:docPartUnique/>
      </w:docPartObj>
    </w:sdtPr>
    <w:sdtEndPr>
      <w:rPr>
        <w:rFonts w:ascii="Times New Roman" w:hAnsi="Times New Roman" w:cs="Times New Roman"/>
        <w:noProof/>
      </w:rPr>
    </w:sdtEndPr>
    <w:sdtContent>
      <w:p w14:paraId="0F3AEAEB" w14:textId="37081D8E" w:rsidR="009F4B33" w:rsidRPr="009F4B33" w:rsidRDefault="009F4B33">
        <w:pPr>
          <w:pStyle w:val="Footer"/>
          <w:jc w:val="right"/>
          <w:rPr>
            <w:rFonts w:ascii="Times New Roman" w:hAnsi="Times New Roman" w:cs="Times New Roman"/>
            <w:sz w:val="18"/>
            <w:szCs w:val="18"/>
          </w:rPr>
        </w:pPr>
        <w:r w:rsidRPr="009F4B33">
          <w:rPr>
            <w:rFonts w:ascii="Times New Roman" w:hAnsi="Times New Roman" w:cs="Times New Roman"/>
            <w:sz w:val="18"/>
            <w:szCs w:val="18"/>
          </w:rPr>
          <w:fldChar w:fldCharType="begin"/>
        </w:r>
        <w:r w:rsidRPr="009F4B33">
          <w:rPr>
            <w:rFonts w:ascii="Times New Roman" w:hAnsi="Times New Roman" w:cs="Times New Roman"/>
            <w:sz w:val="18"/>
            <w:szCs w:val="18"/>
          </w:rPr>
          <w:instrText xml:space="preserve"> PAGE   \* MERGEFORMAT </w:instrText>
        </w:r>
        <w:r w:rsidRPr="009F4B33">
          <w:rPr>
            <w:rFonts w:ascii="Times New Roman" w:hAnsi="Times New Roman" w:cs="Times New Roman"/>
            <w:sz w:val="18"/>
            <w:szCs w:val="18"/>
          </w:rPr>
          <w:fldChar w:fldCharType="separate"/>
        </w:r>
        <w:r w:rsidR="001E1606">
          <w:rPr>
            <w:rFonts w:ascii="Times New Roman" w:hAnsi="Times New Roman" w:cs="Times New Roman"/>
            <w:noProof/>
            <w:sz w:val="18"/>
            <w:szCs w:val="18"/>
          </w:rPr>
          <w:t>14</w:t>
        </w:r>
        <w:r w:rsidRPr="009F4B33">
          <w:rPr>
            <w:rFonts w:ascii="Times New Roman" w:hAnsi="Times New Roman" w:cs="Times New Roman"/>
            <w:noProof/>
            <w:sz w:val="18"/>
            <w:szCs w:val="18"/>
          </w:rPr>
          <w:fldChar w:fldCharType="end"/>
        </w:r>
      </w:p>
    </w:sdtContent>
  </w:sdt>
  <w:p w14:paraId="20E135E5" w14:textId="253F4B19" w:rsidR="009F4B33" w:rsidRPr="009F4B33" w:rsidRDefault="009F4B33" w:rsidP="009F4B33">
    <w:pPr>
      <w:pStyle w:val="Footer"/>
      <w:jc w:val="center"/>
      <w:rPr>
        <w:rFonts w:ascii="Times New Roman" w:hAnsi="Times New Roman" w:cs="Times New Roman"/>
        <w:sz w:val="18"/>
        <w:szCs w:val="18"/>
      </w:rPr>
    </w:pPr>
    <w:r w:rsidRPr="009F4B33">
      <w:rPr>
        <w:rFonts w:ascii="Times New Roman" w:hAnsi="Times New Roman" w:cs="Times New Roman"/>
        <w:b/>
        <w:sz w:val="18"/>
        <w:szCs w:val="18"/>
      </w:rPr>
      <w:t>BG16RFPR002-1.0</w:t>
    </w:r>
    <w:r w:rsidRPr="009F4B33">
      <w:rPr>
        <w:rFonts w:ascii="Times New Roman" w:hAnsi="Times New Roman" w:cs="Times New Roman"/>
        <w:b/>
        <w:sz w:val="18"/>
        <w:szCs w:val="18"/>
        <w:lang w:val="en-US"/>
      </w:rPr>
      <w:t>10</w:t>
    </w:r>
    <w:r w:rsidRPr="009F4B33">
      <w:rPr>
        <w:rFonts w:ascii="Times New Roman" w:hAnsi="Times New Roman" w:cs="Times New Roman"/>
        <w:b/>
        <w:sz w:val="18"/>
        <w:szCs w:val="18"/>
      </w:rPr>
      <w:t xml:space="preserve"> „Зелени и цифрови партньорства за интелигентна трансформация“</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2C553C" w14:textId="77777777" w:rsidR="005C65A5" w:rsidRDefault="005C65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1E5455" w14:textId="77777777" w:rsidR="00046766" w:rsidRDefault="00046766" w:rsidP="00364204">
      <w:pPr>
        <w:spacing w:after="0" w:line="240" w:lineRule="auto"/>
      </w:pPr>
      <w:r>
        <w:separator/>
      </w:r>
    </w:p>
  </w:footnote>
  <w:footnote w:type="continuationSeparator" w:id="0">
    <w:p w14:paraId="2C98040A" w14:textId="77777777" w:rsidR="00046766" w:rsidRDefault="00046766" w:rsidP="00364204">
      <w:pPr>
        <w:spacing w:after="0" w:line="240" w:lineRule="auto"/>
      </w:pPr>
      <w:r>
        <w:continuationSeparator/>
      </w:r>
    </w:p>
  </w:footnote>
  <w:footnote w:id="1">
    <w:p w14:paraId="249010C7" w14:textId="50D218E4" w:rsidR="002A3700" w:rsidRPr="00CF323B" w:rsidRDefault="002A3700" w:rsidP="002A3700">
      <w:pPr>
        <w:pStyle w:val="FootnoteText"/>
        <w:jc w:val="both"/>
        <w:rPr>
          <w:rFonts w:ascii="Times New Roman" w:hAnsi="Times New Roman" w:cs="Times New Roman"/>
        </w:rPr>
      </w:pPr>
      <w:r w:rsidRPr="00CF323B">
        <w:rPr>
          <w:rStyle w:val="FootnoteReference"/>
          <w:rFonts w:ascii="Times New Roman" w:hAnsi="Times New Roman" w:cs="Times New Roman"/>
        </w:rPr>
        <w:footnoteRef/>
      </w:r>
      <w:r w:rsidRPr="00CF323B">
        <w:rPr>
          <w:rFonts w:ascii="Times New Roman" w:hAnsi="Times New Roman" w:cs="Times New Roman"/>
        </w:rPr>
        <w:t xml:space="preserve"> </w:t>
      </w:r>
      <w:r w:rsidR="00D12393" w:rsidRPr="00CF323B">
        <w:rPr>
          <w:rFonts w:ascii="Times New Roman" w:hAnsi="Times New Roman" w:cs="Times New Roman"/>
        </w:rPr>
        <w:t>За проекти, в рамките на които с</w:t>
      </w:r>
      <w:r w:rsidRPr="00CF323B">
        <w:rPr>
          <w:rFonts w:ascii="Times New Roman" w:hAnsi="Times New Roman" w:cs="Times New Roman"/>
        </w:rPr>
        <w:t xml:space="preserve">а заявени разходи за външни услуги </w:t>
      </w:r>
      <w:r w:rsidR="008B1BB2" w:rsidRPr="00CF323B">
        <w:rPr>
          <w:rFonts w:ascii="Times New Roman" w:hAnsi="Times New Roman" w:cs="Times New Roman"/>
        </w:rPr>
        <w:t>(</w:t>
      </w:r>
      <w:r w:rsidRPr="00CF323B">
        <w:rPr>
          <w:rFonts w:ascii="Times New Roman" w:hAnsi="Times New Roman" w:cs="Times New Roman"/>
        </w:rPr>
        <w:t>по т.</w:t>
      </w:r>
      <w:r w:rsidR="00D12393" w:rsidRPr="00CF323B">
        <w:rPr>
          <w:rFonts w:ascii="Times New Roman" w:hAnsi="Times New Roman" w:cs="Times New Roman"/>
        </w:rPr>
        <w:t xml:space="preserve"> </w:t>
      </w:r>
      <w:r w:rsidRPr="00CF323B">
        <w:rPr>
          <w:rFonts w:ascii="Times New Roman" w:hAnsi="Times New Roman" w:cs="Times New Roman"/>
        </w:rPr>
        <w:t xml:space="preserve">4 от Условията за кандидатстване), под място на изпълнение на проекта </w:t>
      </w:r>
      <w:r w:rsidR="00D12393" w:rsidRPr="00CF323B">
        <w:rPr>
          <w:rFonts w:ascii="Times New Roman" w:hAnsi="Times New Roman" w:cs="Times New Roman"/>
        </w:rPr>
        <w:t xml:space="preserve">следва да </w:t>
      </w:r>
      <w:r w:rsidRPr="00CF323B">
        <w:rPr>
          <w:rFonts w:ascii="Times New Roman" w:hAnsi="Times New Roman" w:cs="Times New Roman"/>
        </w:rPr>
        <w:t xml:space="preserve">се разбира мястото на доставяне на услугата, където същата ще се ползва от страна на бенефициента.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501DEF" w14:textId="77777777" w:rsidR="005C65A5" w:rsidRDefault="005C65A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892" w:type="dxa"/>
      <w:tblInd w:w="-72" w:type="dxa"/>
      <w:tblCellMar>
        <w:left w:w="70" w:type="dxa"/>
        <w:right w:w="70" w:type="dxa"/>
      </w:tblCellMar>
      <w:tblLook w:val="0000" w:firstRow="0" w:lastRow="0" w:firstColumn="0" w:lastColumn="0" w:noHBand="0" w:noVBand="0"/>
    </w:tblPr>
    <w:tblGrid>
      <w:gridCol w:w="376"/>
      <w:gridCol w:w="2944"/>
      <w:gridCol w:w="349"/>
      <w:gridCol w:w="2074"/>
      <w:gridCol w:w="399"/>
      <w:gridCol w:w="3401"/>
      <w:gridCol w:w="349"/>
    </w:tblGrid>
    <w:tr w:rsidR="005D5C12" w:rsidRPr="00AF1339" w14:paraId="009708A5" w14:textId="77777777" w:rsidTr="007F6ED0">
      <w:trPr>
        <w:gridBefore w:val="1"/>
        <w:wBefore w:w="376" w:type="dxa"/>
        <w:trHeight w:val="684"/>
      </w:trPr>
      <w:tc>
        <w:tcPr>
          <w:tcW w:w="3320" w:type="dxa"/>
          <w:gridSpan w:val="2"/>
        </w:tcPr>
        <w:p w14:paraId="51AD7E39" w14:textId="5490E116" w:rsidR="005D5C12" w:rsidRPr="00AF1339" w:rsidRDefault="005D5C12" w:rsidP="007F6ED0">
          <w:pPr>
            <w:spacing w:after="160" w:line="259" w:lineRule="auto"/>
            <w:rPr>
              <w:rFonts w:ascii="Calibri" w:eastAsia="Calibri" w:hAnsi="Calibri" w:cs="Times New Roman"/>
              <w:b/>
              <w:sz w:val="18"/>
              <w:szCs w:val="18"/>
            </w:rPr>
          </w:pPr>
        </w:p>
      </w:tc>
      <w:tc>
        <w:tcPr>
          <w:tcW w:w="2607" w:type="dxa"/>
          <w:gridSpan w:val="2"/>
        </w:tcPr>
        <w:p w14:paraId="07D02D66" w14:textId="77777777" w:rsidR="005D5C12" w:rsidRPr="00AF1339" w:rsidRDefault="005D5C12" w:rsidP="00F14642">
          <w:pPr>
            <w:spacing w:after="160" w:line="259" w:lineRule="auto"/>
            <w:jc w:val="center"/>
            <w:rPr>
              <w:rFonts w:ascii="Calibri" w:eastAsia="Calibri" w:hAnsi="Calibri" w:cs="Times New Roman"/>
            </w:rPr>
          </w:pPr>
        </w:p>
      </w:tc>
      <w:tc>
        <w:tcPr>
          <w:tcW w:w="3589" w:type="dxa"/>
          <w:gridSpan w:val="2"/>
        </w:tcPr>
        <w:p w14:paraId="586A499E" w14:textId="77777777" w:rsidR="005D5C12" w:rsidRPr="00AF1339" w:rsidRDefault="005D5C12" w:rsidP="00F14642">
          <w:pPr>
            <w:spacing w:after="160" w:line="259" w:lineRule="auto"/>
            <w:jc w:val="center"/>
            <w:rPr>
              <w:rFonts w:ascii="Calibri" w:eastAsia="Calibri" w:hAnsi="Calibri" w:cs="Times New Roman"/>
            </w:rPr>
          </w:pPr>
        </w:p>
      </w:tc>
    </w:tr>
    <w:tr w:rsidR="00920C83" w:rsidRPr="009563D3" w14:paraId="3F341BB5" w14:textId="77777777" w:rsidTr="007F6ED0">
      <w:trPr>
        <w:gridAfter w:val="1"/>
        <w:wAfter w:w="376" w:type="dxa"/>
        <w:trHeight w:val="684"/>
      </w:trPr>
      <w:tc>
        <w:tcPr>
          <w:tcW w:w="3320" w:type="dxa"/>
          <w:gridSpan w:val="2"/>
        </w:tcPr>
        <w:p w14:paraId="3D33580A" w14:textId="77777777" w:rsidR="00920C83" w:rsidRPr="00920C83" w:rsidRDefault="00920C83" w:rsidP="00920C83">
          <w:pPr>
            <w:spacing w:after="160" w:line="259" w:lineRule="auto"/>
            <w:jc w:val="center"/>
            <w:rPr>
              <w:rFonts w:ascii="Calibri" w:eastAsia="Calibri" w:hAnsi="Calibri" w:cs="Times New Roman"/>
              <w:b/>
              <w:sz w:val="18"/>
              <w:szCs w:val="18"/>
            </w:rPr>
          </w:pPr>
          <w:r w:rsidRPr="00920C83">
            <w:rPr>
              <w:rFonts w:ascii="Calibri" w:eastAsia="Calibri" w:hAnsi="Calibri" w:cs="Times New Roman"/>
              <w:b/>
              <w:noProof/>
              <w:sz w:val="18"/>
              <w:szCs w:val="18"/>
              <w:lang w:eastAsia="bg-BG"/>
            </w:rPr>
            <w:drawing>
              <wp:inline distT="0" distB="0" distL="0" distR="0" wp14:anchorId="4A83A3A8" wp14:editId="372A3DDF">
                <wp:extent cx="2009775" cy="469265"/>
                <wp:effectExtent l="0" t="0" r="9525"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9265"/>
                        </a:xfrm>
                        <a:prstGeom prst="rect">
                          <a:avLst/>
                        </a:prstGeom>
                        <a:noFill/>
                        <a:ln>
                          <a:noFill/>
                        </a:ln>
                      </pic:spPr>
                    </pic:pic>
                  </a:graphicData>
                </a:graphic>
              </wp:inline>
            </w:drawing>
          </w:r>
        </w:p>
      </w:tc>
      <w:tc>
        <w:tcPr>
          <w:tcW w:w="2607" w:type="dxa"/>
          <w:gridSpan w:val="2"/>
        </w:tcPr>
        <w:p w14:paraId="75C55704" w14:textId="77777777" w:rsidR="00920C83" w:rsidRPr="00920C83" w:rsidRDefault="00920C83" w:rsidP="00920C83">
          <w:pPr>
            <w:spacing w:after="160" w:line="259" w:lineRule="auto"/>
            <w:jc w:val="center"/>
            <w:rPr>
              <w:rFonts w:ascii="Calibri" w:eastAsia="Calibri" w:hAnsi="Calibri" w:cs="Times New Roman"/>
            </w:rPr>
          </w:pPr>
        </w:p>
        <w:p w14:paraId="2EA82286" w14:textId="77777777" w:rsidR="00920C83" w:rsidRPr="00920C83" w:rsidRDefault="00920C83" w:rsidP="00920C83">
          <w:pPr>
            <w:spacing w:after="160" w:line="259" w:lineRule="auto"/>
            <w:jc w:val="center"/>
            <w:rPr>
              <w:rFonts w:ascii="Calibri" w:eastAsia="Calibri" w:hAnsi="Calibri" w:cs="Times New Roman"/>
            </w:rPr>
          </w:pPr>
        </w:p>
        <w:p w14:paraId="03414214" w14:textId="77777777" w:rsidR="00920C83" w:rsidRPr="00920C83" w:rsidRDefault="00920C83" w:rsidP="007F6ED0">
          <w:pPr>
            <w:spacing w:after="160" w:line="259" w:lineRule="auto"/>
            <w:jc w:val="right"/>
            <w:rPr>
              <w:rFonts w:ascii="Calibri" w:eastAsia="Calibri" w:hAnsi="Calibri" w:cs="Times New Roman"/>
            </w:rPr>
          </w:pPr>
        </w:p>
      </w:tc>
      <w:tc>
        <w:tcPr>
          <w:tcW w:w="3589" w:type="dxa"/>
          <w:gridSpan w:val="2"/>
        </w:tcPr>
        <w:p w14:paraId="7990B31B" w14:textId="5F5693FD" w:rsidR="00920C83" w:rsidRPr="00920C83" w:rsidRDefault="002B2AE0" w:rsidP="00920C83">
          <w:pPr>
            <w:spacing w:after="160" w:line="259" w:lineRule="auto"/>
            <w:jc w:val="center"/>
            <w:rPr>
              <w:rFonts w:ascii="Calibri" w:eastAsia="Calibri" w:hAnsi="Calibri" w:cs="Times New Roman"/>
            </w:rPr>
          </w:pPr>
          <w:r>
            <w:rPr>
              <w:noProof/>
              <w:lang w:eastAsia="bg-BG"/>
            </w:rPr>
            <w:drawing>
              <wp:inline distT="0" distB="0" distL="0" distR="0" wp14:anchorId="17784547" wp14:editId="7C066BA3">
                <wp:extent cx="2314575" cy="6572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14575" cy="657225"/>
                        </a:xfrm>
                        <a:prstGeom prst="rect">
                          <a:avLst/>
                        </a:prstGeom>
                        <a:noFill/>
                      </pic:spPr>
                    </pic:pic>
                  </a:graphicData>
                </a:graphic>
              </wp:inline>
            </w:drawing>
          </w:r>
        </w:p>
      </w:tc>
    </w:tr>
  </w:tbl>
  <w:p w14:paraId="4D17B3C3" w14:textId="6281BB2C" w:rsidR="005D5C12" w:rsidRPr="009F4B33" w:rsidRDefault="005D5C12">
    <w:pPr>
      <w:pStyle w:val="Header"/>
      <w:rPr>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7AD542" w14:textId="77777777" w:rsidR="005C65A5" w:rsidRDefault="005C65A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
    <w:nsid w:val="2AB8221E"/>
    <w:multiLevelType w:val="hybridMultilevel"/>
    <w:tmpl w:val="F5F67F34"/>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44B"/>
    <w:rsid w:val="0000173C"/>
    <w:rsid w:val="0000386A"/>
    <w:rsid w:val="00004CB3"/>
    <w:rsid w:val="00006A1F"/>
    <w:rsid w:val="00013B0F"/>
    <w:rsid w:val="00015702"/>
    <w:rsid w:val="00016E0B"/>
    <w:rsid w:val="00020E0B"/>
    <w:rsid w:val="00021DCF"/>
    <w:rsid w:val="0002374D"/>
    <w:rsid w:val="00023FFA"/>
    <w:rsid w:val="00033801"/>
    <w:rsid w:val="0003699C"/>
    <w:rsid w:val="000379D7"/>
    <w:rsid w:val="0004005C"/>
    <w:rsid w:val="00044D0F"/>
    <w:rsid w:val="00045584"/>
    <w:rsid w:val="00046766"/>
    <w:rsid w:val="00046C41"/>
    <w:rsid w:val="00052BD0"/>
    <w:rsid w:val="000568E4"/>
    <w:rsid w:val="00062143"/>
    <w:rsid w:val="00090662"/>
    <w:rsid w:val="00096F60"/>
    <w:rsid w:val="000972C6"/>
    <w:rsid w:val="000A0132"/>
    <w:rsid w:val="000A4E76"/>
    <w:rsid w:val="000B38AD"/>
    <w:rsid w:val="000B6360"/>
    <w:rsid w:val="000C2624"/>
    <w:rsid w:val="000C2A46"/>
    <w:rsid w:val="000C6413"/>
    <w:rsid w:val="000C731A"/>
    <w:rsid w:val="000D040C"/>
    <w:rsid w:val="000D418B"/>
    <w:rsid w:val="000D7F0D"/>
    <w:rsid w:val="000E2AD7"/>
    <w:rsid w:val="000E43C4"/>
    <w:rsid w:val="000E4FFF"/>
    <w:rsid w:val="000F48C5"/>
    <w:rsid w:val="001005B4"/>
    <w:rsid w:val="0010112C"/>
    <w:rsid w:val="00112DD2"/>
    <w:rsid w:val="001172F3"/>
    <w:rsid w:val="00120590"/>
    <w:rsid w:val="0012614C"/>
    <w:rsid w:val="00133436"/>
    <w:rsid w:val="001375DA"/>
    <w:rsid w:val="00147A80"/>
    <w:rsid w:val="0015185C"/>
    <w:rsid w:val="00151B68"/>
    <w:rsid w:val="001555D6"/>
    <w:rsid w:val="001566B9"/>
    <w:rsid w:val="00156B42"/>
    <w:rsid w:val="001637DA"/>
    <w:rsid w:val="0016592D"/>
    <w:rsid w:val="001675DC"/>
    <w:rsid w:val="0017605C"/>
    <w:rsid w:val="00176AD2"/>
    <w:rsid w:val="00176EAD"/>
    <w:rsid w:val="00177AF4"/>
    <w:rsid w:val="001826B1"/>
    <w:rsid w:val="0019069B"/>
    <w:rsid w:val="001B133A"/>
    <w:rsid w:val="001B3181"/>
    <w:rsid w:val="001B57E3"/>
    <w:rsid w:val="001B61A7"/>
    <w:rsid w:val="001C2977"/>
    <w:rsid w:val="001D40C6"/>
    <w:rsid w:val="001D505E"/>
    <w:rsid w:val="001D6D99"/>
    <w:rsid w:val="001E1606"/>
    <w:rsid w:val="001E2927"/>
    <w:rsid w:val="001F0D5A"/>
    <w:rsid w:val="001F3C37"/>
    <w:rsid w:val="001F7D54"/>
    <w:rsid w:val="00207A2E"/>
    <w:rsid w:val="0021679D"/>
    <w:rsid w:val="0021691B"/>
    <w:rsid w:val="00226AD4"/>
    <w:rsid w:val="002407B4"/>
    <w:rsid w:val="002656AC"/>
    <w:rsid w:val="00265938"/>
    <w:rsid w:val="00270FA9"/>
    <w:rsid w:val="00277725"/>
    <w:rsid w:val="0028583C"/>
    <w:rsid w:val="002938F6"/>
    <w:rsid w:val="00294A6E"/>
    <w:rsid w:val="002A0B0D"/>
    <w:rsid w:val="002A3700"/>
    <w:rsid w:val="002A512B"/>
    <w:rsid w:val="002A570D"/>
    <w:rsid w:val="002A6026"/>
    <w:rsid w:val="002B03EC"/>
    <w:rsid w:val="002B20F2"/>
    <w:rsid w:val="002B2AE0"/>
    <w:rsid w:val="002B3048"/>
    <w:rsid w:val="002B31B0"/>
    <w:rsid w:val="002B3E57"/>
    <w:rsid w:val="002C7ED8"/>
    <w:rsid w:val="00301649"/>
    <w:rsid w:val="003048BD"/>
    <w:rsid w:val="00311B06"/>
    <w:rsid w:val="00311D57"/>
    <w:rsid w:val="00322E2E"/>
    <w:rsid w:val="003234D8"/>
    <w:rsid w:val="00323E63"/>
    <w:rsid w:val="0032781F"/>
    <w:rsid w:val="00333624"/>
    <w:rsid w:val="003339E9"/>
    <w:rsid w:val="00342683"/>
    <w:rsid w:val="003461C6"/>
    <w:rsid w:val="0035095C"/>
    <w:rsid w:val="00350A75"/>
    <w:rsid w:val="00357D8C"/>
    <w:rsid w:val="00363FB2"/>
    <w:rsid w:val="00364204"/>
    <w:rsid w:val="0036642E"/>
    <w:rsid w:val="00380C77"/>
    <w:rsid w:val="00383645"/>
    <w:rsid w:val="00392471"/>
    <w:rsid w:val="003C0505"/>
    <w:rsid w:val="003C1508"/>
    <w:rsid w:val="003C6307"/>
    <w:rsid w:val="003D5F84"/>
    <w:rsid w:val="003E14CF"/>
    <w:rsid w:val="003E2225"/>
    <w:rsid w:val="003E6A7D"/>
    <w:rsid w:val="003E7DFA"/>
    <w:rsid w:val="003F31D2"/>
    <w:rsid w:val="003F63FF"/>
    <w:rsid w:val="003F74C3"/>
    <w:rsid w:val="00403D6C"/>
    <w:rsid w:val="00413F4A"/>
    <w:rsid w:val="00421ED5"/>
    <w:rsid w:val="00425A09"/>
    <w:rsid w:val="00425D7E"/>
    <w:rsid w:val="00430526"/>
    <w:rsid w:val="004327E3"/>
    <w:rsid w:val="00434D2A"/>
    <w:rsid w:val="00442F9C"/>
    <w:rsid w:val="00443FF4"/>
    <w:rsid w:val="00453858"/>
    <w:rsid w:val="00455569"/>
    <w:rsid w:val="004802B5"/>
    <w:rsid w:val="0048471A"/>
    <w:rsid w:val="00486046"/>
    <w:rsid w:val="00487B87"/>
    <w:rsid w:val="004900F0"/>
    <w:rsid w:val="0049425D"/>
    <w:rsid w:val="004C42CA"/>
    <w:rsid w:val="004C5A98"/>
    <w:rsid w:val="004D06FB"/>
    <w:rsid w:val="004E15B4"/>
    <w:rsid w:val="004E6D9F"/>
    <w:rsid w:val="004F2A43"/>
    <w:rsid w:val="00502F9C"/>
    <w:rsid w:val="005155E4"/>
    <w:rsid w:val="00515FB4"/>
    <w:rsid w:val="0052058A"/>
    <w:rsid w:val="00521924"/>
    <w:rsid w:val="005458FC"/>
    <w:rsid w:val="00546517"/>
    <w:rsid w:val="00562CDD"/>
    <w:rsid w:val="0057352F"/>
    <w:rsid w:val="00590097"/>
    <w:rsid w:val="005B109C"/>
    <w:rsid w:val="005B31B9"/>
    <w:rsid w:val="005B66E8"/>
    <w:rsid w:val="005C3A6A"/>
    <w:rsid w:val="005C4208"/>
    <w:rsid w:val="005C65A5"/>
    <w:rsid w:val="005D31D2"/>
    <w:rsid w:val="005D5C12"/>
    <w:rsid w:val="005D5D2C"/>
    <w:rsid w:val="005E04B9"/>
    <w:rsid w:val="005E3ADC"/>
    <w:rsid w:val="00606D3C"/>
    <w:rsid w:val="00622A4E"/>
    <w:rsid w:val="006235CE"/>
    <w:rsid w:val="00624AAD"/>
    <w:rsid w:val="00624B99"/>
    <w:rsid w:val="0062729B"/>
    <w:rsid w:val="00647A60"/>
    <w:rsid w:val="00650331"/>
    <w:rsid w:val="00655AB9"/>
    <w:rsid w:val="00655CC9"/>
    <w:rsid w:val="0066032E"/>
    <w:rsid w:val="00666644"/>
    <w:rsid w:val="006675E7"/>
    <w:rsid w:val="00677E30"/>
    <w:rsid w:val="00685401"/>
    <w:rsid w:val="00686332"/>
    <w:rsid w:val="006904FF"/>
    <w:rsid w:val="006932EA"/>
    <w:rsid w:val="006A6805"/>
    <w:rsid w:val="006B35B9"/>
    <w:rsid w:val="006B7F88"/>
    <w:rsid w:val="006C0465"/>
    <w:rsid w:val="006C7B36"/>
    <w:rsid w:val="006D243B"/>
    <w:rsid w:val="006D2D81"/>
    <w:rsid w:val="006D5204"/>
    <w:rsid w:val="006D56CD"/>
    <w:rsid w:val="006E74DD"/>
    <w:rsid w:val="006F21CD"/>
    <w:rsid w:val="006F5552"/>
    <w:rsid w:val="006F6688"/>
    <w:rsid w:val="00702795"/>
    <w:rsid w:val="007039E1"/>
    <w:rsid w:val="007110EB"/>
    <w:rsid w:val="00725DB9"/>
    <w:rsid w:val="007268F0"/>
    <w:rsid w:val="00734B42"/>
    <w:rsid w:val="00741F45"/>
    <w:rsid w:val="0074385D"/>
    <w:rsid w:val="0074665C"/>
    <w:rsid w:val="007472EC"/>
    <w:rsid w:val="00750D4C"/>
    <w:rsid w:val="007540A9"/>
    <w:rsid w:val="00761D80"/>
    <w:rsid w:val="00764CC7"/>
    <w:rsid w:val="0076760F"/>
    <w:rsid w:val="0078029D"/>
    <w:rsid w:val="00784610"/>
    <w:rsid w:val="00785637"/>
    <w:rsid w:val="00792531"/>
    <w:rsid w:val="0079544B"/>
    <w:rsid w:val="007A22AD"/>
    <w:rsid w:val="007A5EAF"/>
    <w:rsid w:val="007B2C0A"/>
    <w:rsid w:val="007B5FF0"/>
    <w:rsid w:val="007B60CB"/>
    <w:rsid w:val="007D41F2"/>
    <w:rsid w:val="007E16FF"/>
    <w:rsid w:val="007E18D5"/>
    <w:rsid w:val="007E4C7D"/>
    <w:rsid w:val="007F2CA8"/>
    <w:rsid w:val="007F4E6D"/>
    <w:rsid w:val="007F6ED0"/>
    <w:rsid w:val="007F75CF"/>
    <w:rsid w:val="00800A99"/>
    <w:rsid w:val="00805079"/>
    <w:rsid w:val="0080517F"/>
    <w:rsid w:val="008056CF"/>
    <w:rsid w:val="00812B62"/>
    <w:rsid w:val="00814198"/>
    <w:rsid w:val="0082616B"/>
    <w:rsid w:val="00830873"/>
    <w:rsid w:val="00831362"/>
    <w:rsid w:val="008423D6"/>
    <w:rsid w:val="00844602"/>
    <w:rsid w:val="00844A97"/>
    <w:rsid w:val="00846FFF"/>
    <w:rsid w:val="00855B04"/>
    <w:rsid w:val="00857CD1"/>
    <w:rsid w:val="00862EEE"/>
    <w:rsid w:val="00864E9D"/>
    <w:rsid w:val="00866D81"/>
    <w:rsid w:val="00870D1D"/>
    <w:rsid w:val="00876B7B"/>
    <w:rsid w:val="00880021"/>
    <w:rsid w:val="00884591"/>
    <w:rsid w:val="00893228"/>
    <w:rsid w:val="008A31A7"/>
    <w:rsid w:val="008A3B65"/>
    <w:rsid w:val="008A58FF"/>
    <w:rsid w:val="008A6036"/>
    <w:rsid w:val="008B1BB2"/>
    <w:rsid w:val="008D22C2"/>
    <w:rsid w:val="008D51DE"/>
    <w:rsid w:val="008D73A2"/>
    <w:rsid w:val="008E4D35"/>
    <w:rsid w:val="008E7DBD"/>
    <w:rsid w:val="008F1A06"/>
    <w:rsid w:val="008F1F1D"/>
    <w:rsid w:val="008F29AD"/>
    <w:rsid w:val="008F2DBC"/>
    <w:rsid w:val="008F4E02"/>
    <w:rsid w:val="00907DA1"/>
    <w:rsid w:val="0091098E"/>
    <w:rsid w:val="00911F09"/>
    <w:rsid w:val="00915527"/>
    <w:rsid w:val="00917A7C"/>
    <w:rsid w:val="009200B0"/>
    <w:rsid w:val="00920C83"/>
    <w:rsid w:val="009228BD"/>
    <w:rsid w:val="00922D50"/>
    <w:rsid w:val="00924D9B"/>
    <w:rsid w:val="0093063E"/>
    <w:rsid w:val="00934B28"/>
    <w:rsid w:val="0093672A"/>
    <w:rsid w:val="00936946"/>
    <w:rsid w:val="00937C2E"/>
    <w:rsid w:val="00950DAB"/>
    <w:rsid w:val="0095447F"/>
    <w:rsid w:val="00960116"/>
    <w:rsid w:val="009615E9"/>
    <w:rsid w:val="009944A0"/>
    <w:rsid w:val="00995611"/>
    <w:rsid w:val="009B112E"/>
    <w:rsid w:val="009D0973"/>
    <w:rsid w:val="009D265E"/>
    <w:rsid w:val="009D632B"/>
    <w:rsid w:val="009F3B82"/>
    <w:rsid w:val="009F4B33"/>
    <w:rsid w:val="009F6C1F"/>
    <w:rsid w:val="009F7BB2"/>
    <w:rsid w:val="00A00FBE"/>
    <w:rsid w:val="00A0285B"/>
    <w:rsid w:val="00A07D6D"/>
    <w:rsid w:val="00A14845"/>
    <w:rsid w:val="00A1789B"/>
    <w:rsid w:val="00A24C36"/>
    <w:rsid w:val="00A26995"/>
    <w:rsid w:val="00A3057D"/>
    <w:rsid w:val="00A32D97"/>
    <w:rsid w:val="00A33C33"/>
    <w:rsid w:val="00A45709"/>
    <w:rsid w:val="00A52C19"/>
    <w:rsid w:val="00A641AE"/>
    <w:rsid w:val="00A64487"/>
    <w:rsid w:val="00A64AA8"/>
    <w:rsid w:val="00A704B4"/>
    <w:rsid w:val="00A75871"/>
    <w:rsid w:val="00A87D4D"/>
    <w:rsid w:val="00A90EA8"/>
    <w:rsid w:val="00A94692"/>
    <w:rsid w:val="00A969A7"/>
    <w:rsid w:val="00AA5F85"/>
    <w:rsid w:val="00AB66B3"/>
    <w:rsid w:val="00AC0C92"/>
    <w:rsid w:val="00AC5A69"/>
    <w:rsid w:val="00AC6678"/>
    <w:rsid w:val="00AC6F3F"/>
    <w:rsid w:val="00AD2903"/>
    <w:rsid w:val="00AD39DA"/>
    <w:rsid w:val="00AD60D3"/>
    <w:rsid w:val="00AE06FF"/>
    <w:rsid w:val="00AE2167"/>
    <w:rsid w:val="00AF716B"/>
    <w:rsid w:val="00B14E85"/>
    <w:rsid w:val="00B219EC"/>
    <w:rsid w:val="00B26315"/>
    <w:rsid w:val="00B33CC1"/>
    <w:rsid w:val="00B47A1F"/>
    <w:rsid w:val="00B50A28"/>
    <w:rsid w:val="00B53955"/>
    <w:rsid w:val="00B54D6C"/>
    <w:rsid w:val="00B570F3"/>
    <w:rsid w:val="00B70CA1"/>
    <w:rsid w:val="00B71DD6"/>
    <w:rsid w:val="00B72A66"/>
    <w:rsid w:val="00B74C34"/>
    <w:rsid w:val="00B84F29"/>
    <w:rsid w:val="00B918EA"/>
    <w:rsid w:val="00B96F15"/>
    <w:rsid w:val="00BA0725"/>
    <w:rsid w:val="00BA375E"/>
    <w:rsid w:val="00BB17AB"/>
    <w:rsid w:val="00BC06E5"/>
    <w:rsid w:val="00BD6E52"/>
    <w:rsid w:val="00BE4032"/>
    <w:rsid w:val="00BF171D"/>
    <w:rsid w:val="00C0108B"/>
    <w:rsid w:val="00C1144B"/>
    <w:rsid w:val="00C11A61"/>
    <w:rsid w:val="00C22321"/>
    <w:rsid w:val="00C227AA"/>
    <w:rsid w:val="00C31ADB"/>
    <w:rsid w:val="00C35B51"/>
    <w:rsid w:val="00C44833"/>
    <w:rsid w:val="00C470C9"/>
    <w:rsid w:val="00C5289A"/>
    <w:rsid w:val="00C60101"/>
    <w:rsid w:val="00C61266"/>
    <w:rsid w:val="00C64722"/>
    <w:rsid w:val="00C66498"/>
    <w:rsid w:val="00C67B6D"/>
    <w:rsid w:val="00C77AA5"/>
    <w:rsid w:val="00C835D4"/>
    <w:rsid w:val="00C83BE5"/>
    <w:rsid w:val="00C86681"/>
    <w:rsid w:val="00C918D5"/>
    <w:rsid w:val="00CA653D"/>
    <w:rsid w:val="00CB0C05"/>
    <w:rsid w:val="00CB12DF"/>
    <w:rsid w:val="00CB6BFA"/>
    <w:rsid w:val="00CE3DEC"/>
    <w:rsid w:val="00CF0900"/>
    <w:rsid w:val="00CF323B"/>
    <w:rsid w:val="00CF381D"/>
    <w:rsid w:val="00D012AB"/>
    <w:rsid w:val="00D01862"/>
    <w:rsid w:val="00D01AE0"/>
    <w:rsid w:val="00D077BE"/>
    <w:rsid w:val="00D12393"/>
    <w:rsid w:val="00D12CF4"/>
    <w:rsid w:val="00D23A11"/>
    <w:rsid w:val="00D31E18"/>
    <w:rsid w:val="00D36727"/>
    <w:rsid w:val="00D37325"/>
    <w:rsid w:val="00D43E3C"/>
    <w:rsid w:val="00D45B42"/>
    <w:rsid w:val="00D47FF5"/>
    <w:rsid w:val="00D554F0"/>
    <w:rsid w:val="00D55DC2"/>
    <w:rsid w:val="00D64D8A"/>
    <w:rsid w:val="00D72655"/>
    <w:rsid w:val="00D73B92"/>
    <w:rsid w:val="00D772ED"/>
    <w:rsid w:val="00D819FE"/>
    <w:rsid w:val="00D93460"/>
    <w:rsid w:val="00D97129"/>
    <w:rsid w:val="00DA2FCF"/>
    <w:rsid w:val="00DA3619"/>
    <w:rsid w:val="00DB5F63"/>
    <w:rsid w:val="00DD1DE4"/>
    <w:rsid w:val="00DF094A"/>
    <w:rsid w:val="00DF2DF7"/>
    <w:rsid w:val="00DF5409"/>
    <w:rsid w:val="00DF71C8"/>
    <w:rsid w:val="00DF7E05"/>
    <w:rsid w:val="00E03C0C"/>
    <w:rsid w:val="00E0744A"/>
    <w:rsid w:val="00E12165"/>
    <w:rsid w:val="00E12EB9"/>
    <w:rsid w:val="00E13079"/>
    <w:rsid w:val="00E17783"/>
    <w:rsid w:val="00E20EE5"/>
    <w:rsid w:val="00E2578D"/>
    <w:rsid w:val="00E26093"/>
    <w:rsid w:val="00E2753E"/>
    <w:rsid w:val="00E304D8"/>
    <w:rsid w:val="00E32E04"/>
    <w:rsid w:val="00E3682E"/>
    <w:rsid w:val="00E42994"/>
    <w:rsid w:val="00E43262"/>
    <w:rsid w:val="00E6244E"/>
    <w:rsid w:val="00E664BC"/>
    <w:rsid w:val="00E67D8F"/>
    <w:rsid w:val="00E80306"/>
    <w:rsid w:val="00E86682"/>
    <w:rsid w:val="00EA1E54"/>
    <w:rsid w:val="00EB0D94"/>
    <w:rsid w:val="00EC079D"/>
    <w:rsid w:val="00EC2F03"/>
    <w:rsid w:val="00EC6570"/>
    <w:rsid w:val="00ED0D72"/>
    <w:rsid w:val="00EE7F6C"/>
    <w:rsid w:val="00F01208"/>
    <w:rsid w:val="00F027BB"/>
    <w:rsid w:val="00F035C7"/>
    <w:rsid w:val="00F06A3C"/>
    <w:rsid w:val="00F14642"/>
    <w:rsid w:val="00F15327"/>
    <w:rsid w:val="00F15645"/>
    <w:rsid w:val="00F22796"/>
    <w:rsid w:val="00F25879"/>
    <w:rsid w:val="00F27621"/>
    <w:rsid w:val="00F34A55"/>
    <w:rsid w:val="00F353A1"/>
    <w:rsid w:val="00F41D4C"/>
    <w:rsid w:val="00F457CF"/>
    <w:rsid w:val="00F46AA0"/>
    <w:rsid w:val="00F53913"/>
    <w:rsid w:val="00F547F9"/>
    <w:rsid w:val="00F56BC0"/>
    <w:rsid w:val="00F6168F"/>
    <w:rsid w:val="00F702F0"/>
    <w:rsid w:val="00F74603"/>
    <w:rsid w:val="00F83726"/>
    <w:rsid w:val="00FA5933"/>
    <w:rsid w:val="00FD2BCA"/>
    <w:rsid w:val="00FE5D62"/>
    <w:rsid w:val="00FE6AF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158AC2"/>
  <w15:docId w15:val="{22C87019-D124-4A85-81CA-738BCE08A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64204"/>
  </w:style>
  <w:style w:type="paragraph" w:styleId="Footer">
    <w:name w:val="footer"/>
    <w:basedOn w:val="Normal"/>
    <w:link w:val="FooterChar"/>
    <w:uiPriority w:val="99"/>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
    <w:basedOn w:val="DefaultParagraphFont"/>
    <w:semiHidden/>
    <w:unhideWhenUsed/>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 w:type="paragraph" w:styleId="Revision">
    <w:name w:val="Revision"/>
    <w:hidden/>
    <w:uiPriority w:val="99"/>
    <w:semiHidden/>
    <w:rsid w:val="00FE6AFA"/>
    <w:pPr>
      <w:spacing w:after="0" w:line="240" w:lineRule="auto"/>
    </w:pPr>
  </w:style>
  <w:style w:type="character" w:styleId="Hyperlink">
    <w:name w:val="Hyperlink"/>
    <w:basedOn w:val="DefaultParagraphFont"/>
    <w:uiPriority w:val="99"/>
    <w:unhideWhenUsed/>
    <w:rsid w:val="009615E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5754702">
      <w:bodyDiv w:val="1"/>
      <w:marLeft w:val="0"/>
      <w:marRight w:val="0"/>
      <w:marTop w:val="0"/>
      <w:marBottom w:val="0"/>
      <w:divBdr>
        <w:top w:val="none" w:sz="0" w:space="0" w:color="auto"/>
        <w:left w:val="none" w:sz="0" w:space="0" w:color="auto"/>
        <w:bottom w:val="none" w:sz="0" w:space="0" w:color="auto"/>
        <w:right w:val="none" w:sz="0" w:space="0" w:color="auto"/>
      </w:divBdr>
    </w:div>
    <w:div w:id="1077747829">
      <w:bodyDiv w:val="1"/>
      <w:marLeft w:val="0"/>
      <w:marRight w:val="0"/>
      <w:marTop w:val="0"/>
      <w:marBottom w:val="0"/>
      <w:divBdr>
        <w:top w:val="none" w:sz="0" w:space="0" w:color="auto"/>
        <w:left w:val="none" w:sz="0" w:space="0" w:color="auto"/>
        <w:bottom w:val="none" w:sz="0" w:space="0" w:color="auto"/>
        <w:right w:val="none" w:sz="0" w:space="0" w:color="auto"/>
      </w:divBdr>
    </w:div>
    <w:div w:id="1174419907">
      <w:bodyDiv w:val="1"/>
      <w:marLeft w:val="0"/>
      <w:marRight w:val="0"/>
      <w:marTop w:val="0"/>
      <w:marBottom w:val="0"/>
      <w:divBdr>
        <w:top w:val="none" w:sz="0" w:space="0" w:color="auto"/>
        <w:left w:val="none" w:sz="0" w:space="0" w:color="auto"/>
        <w:bottom w:val="none" w:sz="0" w:space="0" w:color="auto"/>
        <w:right w:val="none" w:sz="0" w:space="0" w:color="auto"/>
      </w:divBdr>
      <w:divsChild>
        <w:div w:id="20314427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1532265">
      <w:bodyDiv w:val="1"/>
      <w:marLeft w:val="0"/>
      <w:marRight w:val="0"/>
      <w:marTop w:val="0"/>
      <w:marBottom w:val="0"/>
      <w:divBdr>
        <w:top w:val="none" w:sz="0" w:space="0" w:color="auto"/>
        <w:left w:val="none" w:sz="0" w:space="0" w:color="auto"/>
        <w:bottom w:val="none" w:sz="0" w:space="0" w:color="auto"/>
        <w:right w:val="none" w:sz="0" w:space="0" w:color="auto"/>
      </w:divBdr>
    </w:div>
    <w:div w:id="1350257999">
      <w:bodyDiv w:val="1"/>
      <w:marLeft w:val="0"/>
      <w:marRight w:val="0"/>
      <w:marTop w:val="0"/>
      <w:marBottom w:val="0"/>
      <w:divBdr>
        <w:top w:val="none" w:sz="0" w:space="0" w:color="auto"/>
        <w:left w:val="none" w:sz="0" w:space="0" w:color="auto"/>
        <w:bottom w:val="none" w:sz="0" w:space="0" w:color="auto"/>
        <w:right w:val="none" w:sz="0" w:space="0" w:color="auto"/>
      </w:divBdr>
    </w:div>
    <w:div w:id="2023317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138694&amp;b=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29C922-9CA8-4ADD-AF40-D085DD6A5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3731</Words>
  <Characters>21269</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Стела</dc:creator>
  <cp:lastModifiedBy>Microsoft account</cp:lastModifiedBy>
  <cp:revision>13</cp:revision>
  <cp:lastPrinted>2015-04-30T10:45:00Z</cp:lastPrinted>
  <dcterms:created xsi:type="dcterms:W3CDTF">2024-10-28T11:58:00Z</dcterms:created>
  <dcterms:modified xsi:type="dcterms:W3CDTF">2025-09-29T09:10:00Z</dcterms:modified>
</cp:coreProperties>
</file>